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52" w:rsidRPr="00EF4334" w:rsidRDefault="00B44C2B" w:rsidP="00B44C2B">
      <w:pPr>
        <w:jc w:val="center"/>
        <w:rPr>
          <w:rFonts w:cstheme="minorHAnsi"/>
        </w:rPr>
      </w:pPr>
      <w:r w:rsidRPr="00EF4334">
        <w:rPr>
          <w:rFonts w:cstheme="minorHAnsi"/>
          <w:b/>
          <w:noProof/>
        </w:rPr>
        <w:drawing>
          <wp:inline distT="0" distB="0" distL="0" distR="0" wp14:anchorId="67B14CB3" wp14:editId="17D85D66">
            <wp:extent cx="2914650" cy="2333625"/>
            <wp:effectExtent l="19050" t="0" r="0" b="0"/>
            <wp:docPr id="1" name="Picture 1" descr="C:\Users\CvanRensburg\Desktop\C Van Rensburg Data Transfer\My Pictures\Logo's\306 x 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anRensburg\Desktop\C Van Rensburg Data Transfer\My Pictures\Logo's\306 x 20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C2B" w:rsidRPr="00EF4334" w:rsidRDefault="00B44C2B" w:rsidP="00B44C2B">
      <w:pPr>
        <w:rPr>
          <w:rFonts w:cstheme="minorHAnsi"/>
          <w:b/>
          <w:noProof/>
        </w:rPr>
      </w:pPr>
    </w:p>
    <w:p w:rsidR="005A766D" w:rsidRPr="00EF4334" w:rsidRDefault="005A766D" w:rsidP="005A766D">
      <w:pPr>
        <w:spacing w:after="160" w:line="360" w:lineRule="auto"/>
        <w:jc w:val="center"/>
        <w:rPr>
          <w:rFonts w:eastAsia="Calibri" w:cstheme="minorHAnsi"/>
          <w:b/>
          <w:sz w:val="48"/>
          <w:szCs w:val="48"/>
          <w:lang w:val="en-US" w:eastAsia="en-US"/>
        </w:rPr>
      </w:pPr>
      <w:r w:rsidRPr="00EF4334">
        <w:rPr>
          <w:rFonts w:eastAsia="Calibri" w:cstheme="minorHAnsi"/>
          <w:b/>
          <w:sz w:val="48"/>
          <w:szCs w:val="48"/>
          <w:lang w:val="en-US" w:eastAsia="en-US"/>
        </w:rPr>
        <w:t>PUBLICATION OF PERFORMANCE DATA FOR PROVINCIAL DEPARTMENTS</w:t>
      </w:r>
      <w:r w:rsidR="0024500D" w:rsidRPr="00EF4334">
        <w:rPr>
          <w:rFonts w:eastAsia="Calibri" w:cstheme="minorHAnsi"/>
          <w:b/>
          <w:sz w:val="48"/>
          <w:szCs w:val="48"/>
          <w:lang w:val="en-US" w:eastAsia="en-US"/>
        </w:rPr>
        <w:t xml:space="preserve"> and PILOT ENTITIES</w:t>
      </w:r>
    </w:p>
    <w:p w:rsidR="005A766D" w:rsidRPr="00EF4334" w:rsidRDefault="00AE3A6B" w:rsidP="005A766D">
      <w:pPr>
        <w:spacing w:after="160" w:line="360" w:lineRule="auto"/>
        <w:jc w:val="center"/>
        <w:rPr>
          <w:rFonts w:eastAsia="Calibri" w:cstheme="minorHAnsi"/>
          <w:b/>
          <w:sz w:val="48"/>
          <w:szCs w:val="48"/>
          <w:lang w:val="en-US" w:eastAsia="en-US"/>
        </w:rPr>
      </w:pPr>
      <w:r>
        <w:rPr>
          <w:rFonts w:eastAsia="Calibri" w:cstheme="minorHAnsi"/>
          <w:b/>
          <w:sz w:val="48"/>
          <w:szCs w:val="48"/>
          <w:lang w:val="en-US" w:eastAsia="en-US"/>
        </w:rPr>
        <w:t>2023/24</w:t>
      </w:r>
      <w:r w:rsidR="005A766D" w:rsidRPr="00EF4334">
        <w:rPr>
          <w:rFonts w:eastAsia="Calibri" w:cstheme="minorHAnsi"/>
          <w:b/>
          <w:sz w:val="48"/>
          <w:szCs w:val="48"/>
          <w:lang w:val="en-US" w:eastAsia="en-US"/>
        </w:rPr>
        <w:t xml:space="preserve"> FINANCIAL YEAR</w:t>
      </w:r>
    </w:p>
    <w:p w:rsidR="005A766D" w:rsidRPr="00EF4334" w:rsidRDefault="00AE3A6B" w:rsidP="005A766D">
      <w:pPr>
        <w:spacing w:after="160" w:line="360" w:lineRule="auto"/>
        <w:jc w:val="center"/>
        <w:rPr>
          <w:rFonts w:eastAsia="Calibri" w:cstheme="minorHAnsi"/>
          <w:b/>
          <w:sz w:val="48"/>
          <w:szCs w:val="48"/>
          <w:lang w:val="en-US" w:eastAsia="en-US"/>
        </w:rPr>
      </w:pPr>
      <w:r>
        <w:rPr>
          <w:rFonts w:eastAsia="Calibri" w:cstheme="minorHAnsi"/>
          <w:b/>
          <w:sz w:val="48"/>
          <w:szCs w:val="48"/>
          <w:lang w:val="en-US" w:eastAsia="en-US"/>
        </w:rPr>
        <w:t>QUARTER 1</w:t>
      </w:r>
      <w:r w:rsidR="00034541">
        <w:rPr>
          <w:rFonts w:eastAsia="Calibri" w:cstheme="minorHAnsi"/>
          <w:b/>
          <w:sz w:val="48"/>
          <w:szCs w:val="48"/>
          <w:lang w:val="en-US" w:eastAsia="en-US"/>
        </w:rPr>
        <w:t xml:space="preserve">-3 </w:t>
      </w:r>
      <w:r w:rsidR="005A766D" w:rsidRPr="00EF4334">
        <w:rPr>
          <w:rFonts w:eastAsia="Calibri" w:cstheme="minorHAnsi"/>
          <w:b/>
          <w:sz w:val="48"/>
          <w:szCs w:val="48"/>
          <w:lang w:val="en-US" w:eastAsia="en-US"/>
        </w:rPr>
        <w:t xml:space="preserve">VALIDATED DATA </w:t>
      </w:r>
    </w:p>
    <w:p w:rsidR="00E96B27" w:rsidRPr="00EF4334" w:rsidRDefault="00BF39C3" w:rsidP="005A766D">
      <w:pPr>
        <w:spacing w:after="160" w:line="360" w:lineRule="auto"/>
        <w:jc w:val="center"/>
        <w:rPr>
          <w:rFonts w:eastAsia="Calibri" w:cstheme="minorHAnsi"/>
          <w:b/>
          <w:bCs/>
          <w:sz w:val="48"/>
          <w:szCs w:val="48"/>
          <w:lang w:val="en-US" w:eastAsia="en-US"/>
        </w:rPr>
      </w:pPr>
      <w:r>
        <w:rPr>
          <w:rFonts w:eastAsia="Calibri" w:cstheme="minorHAnsi"/>
          <w:b/>
          <w:sz w:val="48"/>
          <w:szCs w:val="48"/>
          <w:lang w:val="en-US" w:eastAsia="en-US"/>
        </w:rPr>
        <w:t xml:space="preserve">(as reported on the </w:t>
      </w:r>
      <w:proofErr w:type="spellStart"/>
      <w:r>
        <w:rPr>
          <w:rFonts w:eastAsia="Calibri" w:cstheme="minorHAnsi"/>
          <w:b/>
          <w:sz w:val="48"/>
          <w:szCs w:val="48"/>
          <w:lang w:val="en-US" w:eastAsia="en-US"/>
        </w:rPr>
        <w:t>eQPR</w:t>
      </w:r>
      <w:proofErr w:type="spellEnd"/>
      <w:r>
        <w:rPr>
          <w:rFonts w:eastAsia="Calibri" w:cstheme="minorHAnsi"/>
          <w:b/>
          <w:sz w:val="48"/>
          <w:szCs w:val="48"/>
          <w:lang w:val="en-US" w:eastAsia="en-US"/>
        </w:rPr>
        <w:t xml:space="preserve"> S</w:t>
      </w:r>
      <w:r w:rsidR="005A766D" w:rsidRPr="00EF4334">
        <w:rPr>
          <w:rFonts w:eastAsia="Calibri" w:cstheme="minorHAnsi"/>
          <w:b/>
          <w:sz w:val="48"/>
          <w:szCs w:val="48"/>
          <w:lang w:val="en-US" w:eastAsia="en-US"/>
        </w:rPr>
        <w:t xml:space="preserve">ystem </w:t>
      </w:r>
      <w:r w:rsidR="001E5F5E">
        <w:rPr>
          <w:rFonts w:eastAsia="Calibri" w:cstheme="minorHAnsi"/>
          <w:b/>
          <w:sz w:val="48"/>
          <w:szCs w:val="48"/>
          <w:lang w:val="en-US" w:eastAsia="en-US"/>
        </w:rPr>
        <w:t>–</w:t>
      </w:r>
      <w:r w:rsidR="005A766D" w:rsidRPr="00EF4334">
        <w:rPr>
          <w:rFonts w:eastAsia="Calibri" w:cstheme="minorHAnsi"/>
          <w:b/>
          <w:sz w:val="48"/>
          <w:szCs w:val="48"/>
          <w:lang w:val="en-US" w:eastAsia="en-US"/>
        </w:rPr>
        <w:t xml:space="preserve"> </w:t>
      </w:r>
      <w:r w:rsidR="00034541">
        <w:rPr>
          <w:rFonts w:eastAsia="Calibri" w:cstheme="minorHAnsi"/>
          <w:b/>
          <w:sz w:val="48"/>
          <w:szCs w:val="48"/>
          <w:lang w:val="en-US" w:eastAsia="en-US"/>
        </w:rPr>
        <w:t>31 January 2024</w:t>
      </w:r>
      <w:r w:rsidR="005A766D" w:rsidRPr="00EF4334">
        <w:rPr>
          <w:rFonts w:eastAsia="Calibri" w:cstheme="minorHAnsi"/>
          <w:b/>
          <w:sz w:val="48"/>
          <w:szCs w:val="48"/>
          <w:lang w:val="en-US" w:eastAsia="en-US"/>
        </w:rPr>
        <w:t>)</w:t>
      </w:r>
    </w:p>
    <w:p w:rsidR="00B44C2B" w:rsidRPr="00EF4334" w:rsidRDefault="00B44C2B" w:rsidP="00B44C2B">
      <w:pPr>
        <w:rPr>
          <w:rFonts w:cstheme="minorHAnsi"/>
          <w:noProof/>
        </w:rPr>
        <w:sectPr w:rsidR="00B44C2B" w:rsidRPr="00EF4334" w:rsidSect="00DE5B3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871E90" w:rsidRPr="00EF4334" w:rsidRDefault="00871E90" w:rsidP="00871E90">
      <w:pPr>
        <w:rPr>
          <w:rFonts w:eastAsia="Times New Roman" w:cstheme="minorHAnsi"/>
          <w:b/>
          <w:sz w:val="24"/>
          <w:szCs w:val="24"/>
        </w:rPr>
      </w:pPr>
      <w:r w:rsidRPr="00EF4334">
        <w:rPr>
          <w:rFonts w:eastAsia="Times New Roman" w:cstheme="minorHAnsi"/>
          <w:b/>
          <w:sz w:val="24"/>
          <w:szCs w:val="24"/>
        </w:rPr>
        <w:lastRenderedPageBreak/>
        <w:t>Department of Cooperative Governance</w:t>
      </w:r>
      <w:r w:rsidR="00E473F1" w:rsidRPr="00EF4334">
        <w:rPr>
          <w:rFonts w:eastAsia="Times New Roman" w:cstheme="minorHAnsi"/>
          <w:b/>
          <w:sz w:val="24"/>
          <w:szCs w:val="24"/>
        </w:rPr>
        <w:t>,</w:t>
      </w:r>
      <w:r w:rsidRPr="00EF4334">
        <w:rPr>
          <w:rFonts w:eastAsia="Times New Roman" w:cstheme="minorHAnsi"/>
          <w:b/>
          <w:sz w:val="24"/>
          <w:szCs w:val="24"/>
        </w:rPr>
        <w:t xml:space="preserve"> Human Settlements and Traditional Affairs </w:t>
      </w:r>
    </w:p>
    <w:p w:rsidR="00871E90" w:rsidRDefault="000248EE" w:rsidP="0032529C">
      <w:pPr>
        <w:ind w:hanging="284"/>
        <w:rPr>
          <w:rFonts w:eastAsia="Times New Roman" w:cstheme="minorHAnsi"/>
          <w:color w:val="006400"/>
          <w:sz w:val="24"/>
          <w:szCs w:val="24"/>
        </w:rPr>
      </w:pPr>
      <w:r w:rsidRPr="00EF4334">
        <w:rPr>
          <w:rFonts w:cstheme="minorHAnsi"/>
          <w:noProof/>
        </w:rPr>
        <w:drawing>
          <wp:inline distT="0" distB="0" distL="0" distR="0" wp14:anchorId="57B2C46C" wp14:editId="002657D4">
            <wp:extent cx="2447257" cy="101520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38" cy="102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AE3A6B">
        <w:rPr>
          <w:rFonts w:eastAsia="Times New Roman" w:cstheme="minorHAnsi"/>
          <w:b/>
          <w:color w:val="FF6E21"/>
          <w:sz w:val="24"/>
          <w:szCs w:val="24"/>
        </w:rPr>
        <w:t>FY 2023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-</w:t>
      </w:r>
      <w:r w:rsidR="00AE3A6B">
        <w:rPr>
          <w:rFonts w:eastAsia="Times New Roman" w:cstheme="minorHAnsi"/>
          <w:b/>
          <w:color w:val="FF6E21"/>
          <w:sz w:val="24"/>
          <w:szCs w:val="24"/>
        </w:rPr>
        <w:t xml:space="preserve">24 </w:t>
      </w:r>
      <w:r w:rsidR="005D4508" w:rsidRPr="00EF4334">
        <w:rPr>
          <w:rFonts w:eastAsia="Times New Roman" w:cstheme="minorHAnsi"/>
          <w:b/>
          <w:color w:val="006400"/>
          <w:sz w:val="24"/>
          <w:szCs w:val="24"/>
        </w:rPr>
        <w:t>for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Cooperative Governance</w:t>
      </w:r>
      <w:r w:rsidRPr="00EF4334">
        <w:rPr>
          <w:rFonts w:eastAsia="Times New Roman" w:cstheme="minorHAnsi"/>
          <w:color w:val="006400"/>
          <w:sz w:val="24"/>
          <w:szCs w:val="24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988"/>
        <w:gridCol w:w="2809"/>
        <w:gridCol w:w="1160"/>
        <w:gridCol w:w="1701"/>
        <w:gridCol w:w="1134"/>
        <w:gridCol w:w="1701"/>
        <w:gridCol w:w="1134"/>
        <w:gridCol w:w="1701"/>
      </w:tblGrid>
      <w:tr w:rsidR="00034541" w:rsidRPr="00034541" w:rsidTr="00356AF9">
        <w:trPr>
          <w:trHeight w:val="290"/>
          <w:tblHeader/>
        </w:trPr>
        <w:tc>
          <w:tcPr>
            <w:tcW w:w="1551" w:type="dxa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1" w:type="dxa"/>
            <w:gridSpan w:val="2"/>
            <w:shd w:val="clear" w:color="90EE90" w:fill="90EE90"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sz w:val="18"/>
                <w:szCs w:val="18"/>
              </w:rPr>
              <w:t>Quarter - 3</w:t>
            </w:r>
          </w:p>
        </w:tc>
      </w:tr>
      <w:tr w:rsidR="00034541" w:rsidRPr="00034541" w:rsidTr="00356AF9">
        <w:trPr>
          <w:trHeight w:val="290"/>
          <w:tblHeader/>
        </w:trPr>
        <w:tc>
          <w:tcPr>
            <w:tcW w:w="1551" w:type="dxa"/>
            <w:shd w:val="clear" w:color="FF6E21" w:fill="FF6E21"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988" w:type="dxa"/>
            <w:shd w:val="clear" w:color="FF6E21" w:fill="FF6E21"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09" w:type="dxa"/>
            <w:shd w:val="clear" w:color="FF6E21" w:fill="FF6E21"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60" w:type="dxa"/>
            <w:shd w:val="clear" w:color="FF6E21" w:fill="FF6E21"/>
            <w:vAlign w:val="center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356AF9" w:rsidRPr="00034541" w:rsidTr="00356AF9">
        <w:trPr>
          <w:trHeight w:val="491"/>
        </w:trPr>
        <w:tc>
          <w:tcPr>
            <w:tcW w:w="1551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1. Administration</w:t>
            </w: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1.2. Corporate Services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uncontested invoices paid within 30 days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92.26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98.5</w:t>
            </w:r>
          </w:p>
        </w:tc>
      </w:tr>
      <w:tr w:rsidR="00034541" w:rsidRPr="00034541" w:rsidTr="00356AF9">
        <w:trPr>
          <w:trHeight w:val="554"/>
        </w:trPr>
        <w:tc>
          <w:tcPr>
            <w:tcW w:w="1551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procurement transactions awarded to women-owned businesses (WOB)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8.16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28.2</w:t>
            </w:r>
          </w:p>
        </w:tc>
      </w:tr>
      <w:tr w:rsidR="00034541" w:rsidRPr="00034541" w:rsidTr="00356AF9">
        <w:trPr>
          <w:trHeight w:val="309"/>
        </w:trPr>
        <w:tc>
          <w:tcPr>
            <w:tcW w:w="1551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external audit recommendations implemented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67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67</w:t>
            </w:r>
          </w:p>
        </w:tc>
      </w:tr>
      <w:tr w:rsidR="00034541" w:rsidRPr="00034541" w:rsidTr="00356AF9">
        <w:trPr>
          <w:trHeight w:val="429"/>
        </w:trPr>
        <w:tc>
          <w:tcPr>
            <w:tcW w:w="1551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departmental policies implemented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100</w:t>
            </w:r>
          </w:p>
        </w:tc>
      </w:tr>
      <w:tr w:rsidR="00034541" w:rsidRPr="00034541" w:rsidTr="00356AF9">
        <w:trPr>
          <w:trHeight w:val="669"/>
        </w:trPr>
        <w:tc>
          <w:tcPr>
            <w:tcW w:w="1551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Local Governance</w:t>
            </w: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2.1: Municipal Administration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comply with MSA Regulations on the appointment of senior managers (Linked to MTSF 2019 – 2024, Priority 1)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</w:t>
            </w:r>
          </w:p>
        </w:tc>
      </w:tr>
      <w:tr w:rsidR="00034541" w:rsidRPr="00034541" w:rsidTr="00356AF9">
        <w:trPr>
          <w:trHeight w:val="953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monitored on the extent to which anti-corruption measures are implemented (Linked to MTSF 2019 – 2024, Priority 1)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9</w:t>
            </w:r>
          </w:p>
        </w:tc>
      </w:tr>
      <w:tr w:rsidR="00034541" w:rsidRPr="00034541" w:rsidTr="00356AF9">
        <w:trPr>
          <w:trHeight w:val="72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2.2:  Municipal Finance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guided to comply with the MPRA (Linked to MTSF 2019 – 2024, Priority 1) (B2B Pillar 4)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E64258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color w:val="4D4D4D"/>
                <w:sz w:val="18"/>
                <w:szCs w:val="18"/>
              </w:rPr>
            </w:pPr>
            <w:r w:rsidRPr="00356AF9">
              <w:rPr>
                <w:rFonts w:eastAsia="Times New Roman" w:cstheme="minorHAnsi"/>
                <w:color w:val="4D4D4D"/>
                <w:sz w:val="18"/>
                <w:szCs w:val="18"/>
              </w:rPr>
              <w:t>8</w:t>
            </w:r>
          </w:p>
        </w:tc>
      </w:tr>
      <w:tr w:rsidR="00034541" w:rsidRPr="00034541" w:rsidTr="00356AF9">
        <w:trPr>
          <w:trHeight w:val="1094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reduce Unauthorized, Irregular, Wasteful and Fruitless expenditure (Linked to MTSF 2019 – 2024, Priority 1)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034541" w:rsidRPr="00034541" w:rsidTr="00356AF9">
        <w:trPr>
          <w:trHeight w:val="96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2.3:  Public Participation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monitored on the implementation of GBVF responsive programmes (Final M&amp;E Plan for NSP on GBVF) (Pillar 2: Prevention and Restoration of Social Fabric)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</w:tr>
      <w:tr w:rsidR="00034541" w:rsidRPr="00034541" w:rsidTr="00356AF9">
        <w:trPr>
          <w:trHeight w:val="120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promote participation in community based local governance processes (Priority 1: Capable, Ethical and Developmental State) (Priority 6 MTEF indicatory: Social Cohesion and Safer Communities)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034541" w:rsidRPr="00034541" w:rsidTr="00356AF9">
        <w:trPr>
          <w:trHeight w:val="48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resolve community concerns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</w:tr>
      <w:tr w:rsidR="00034541" w:rsidRPr="00034541" w:rsidTr="00356AF9">
        <w:trPr>
          <w:trHeight w:val="72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maintain functional ward committees (MTSF 2019 – 2024, Priority 1)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</w:tr>
      <w:tr w:rsidR="00034541" w:rsidRPr="00034541" w:rsidTr="00356AF9">
        <w:trPr>
          <w:trHeight w:val="1005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2.4:  Capacity Development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capacity building interventions conducted in municipalities (Linked to MTSF 2019 – 2024, Priority 1) (B2B Pillar 5)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</w:tr>
      <w:tr w:rsidR="00034541" w:rsidRPr="00034541" w:rsidTr="00356AF9">
        <w:trPr>
          <w:trHeight w:val="88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2.5: Municipal Performance Monitoring, Reporting and Evaluation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institutionalize the performance management system (PMS) (Linked to MTSF 2019 – 2024, Priority 1)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</w:tr>
      <w:tr w:rsidR="00034541" w:rsidRPr="00034541" w:rsidTr="00356AF9">
        <w:trPr>
          <w:trHeight w:val="645"/>
        </w:trPr>
        <w:tc>
          <w:tcPr>
            <w:tcW w:w="1551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lastRenderedPageBreak/>
              <w:t>Programme 3: Development and Planning</w:t>
            </w:r>
          </w:p>
        </w:tc>
        <w:tc>
          <w:tcPr>
            <w:tcW w:w="1988" w:type="dxa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3.3. Local Economic Development (LED)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work opportunities reported through Community Work Programme (CWP) (MTSF 2019-2024, Priority 2)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21000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19829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21000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20026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21000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20313</w:t>
            </w:r>
          </w:p>
        </w:tc>
      </w:tr>
      <w:tr w:rsidR="00034541" w:rsidRPr="00034541" w:rsidTr="00356AF9">
        <w:trPr>
          <w:trHeight w:val="720"/>
        </w:trPr>
        <w:tc>
          <w:tcPr>
            <w:tcW w:w="1551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3.4: Municipal Infrastructure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monitored on the implementation of indigent policies (Sub-outcome 1) (B2B Pillar 2)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</w:tr>
      <w:tr w:rsidR="00034541" w:rsidRPr="00034541" w:rsidTr="00356AF9">
        <w:trPr>
          <w:trHeight w:val="720"/>
        </w:trPr>
        <w:tc>
          <w:tcPr>
            <w:tcW w:w="1551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monitored on the implementation of infrastructure delivery programmes (Outcome 9, Sub-outcome 1) (B2B Pillar 5)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</w:tr>
      <w:tr w:rsidR="00034541" w:rsidRPr="00034541" w:rsidTr="00356AF9">
        <w:trPr>
          <w:trHeight w:val="480"/>
        </w:trPr>
        <w:tc>
          <w:tcPr>
            <w:tcW w:w="1551" w:type="dxa"/>
            <w:vMerge/>
            <w:vAlign w:val="center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3.5: Disaster Management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maintain functional Disaster Management Centres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034541" w:rsidRPr="00034541" w:rsidTr="00356AF9">
        <w:trPr>
          <w:trHeight w:val="507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on Fire Brigade Services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034541" w:rsidRPr="00034541" w:rsidTr="00356AF9">
        <w:trPr>
          <w:trHeight w:val="570"/>
        </w:trPr>
        <w:tc>
          <w:tcPr>
            <w:tcW w:w="1551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Traditional Institutional Management</w:t>
            </w:r>
          </w:p>
        </w:tc>
        <w:tc>
          <w:tcPr>
            <w:tcW w:w="1988" w:type="dxa"/>
            <w:vMerge w:val="restart"/>
            <w:shd w:val="clear" w:color="auto" w:fill="auto"/>
            <w:hideMark/>
          </w:tcPr>
          <w:p w:rsidR="00034541" w:rsidRPr="00356AF9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Traditional Institutional Management</w:t>
            </w: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Traditional Leadership succession disputes processed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034541" w:rsidRPr="00034541" w:rsidTr="00356AF9">
        <w:trPr>
          <w:trHeight w:val="5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Anti GBVF Intervention/campaigns for traditional leadership (Final M&amp;E Plan for the NSP on GBVF) (Pillar 2: Prevention and Restoration of Social Fabric)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034541" w:rsidRPr="00034541" w:rsidTr="00356AF9">
        <w:trPr>
          <w:trHeight w:val="480"/>
        </w:trPr>
        <w:tc>
          <w:tcPr>
            <w:tcW w:w="1551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auto"/>
            <w:hideMark/>
          </w:tcPr>
          <w:p w:rsidR="00034541" w:rsidRPr="00034541" w:rsidRDefault="00034541" w:rsidP="00034541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034541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Traditional Councils supported to perform their functions</w:t>
            </w:r>
          </w:p>
        </w:tc>
        <w:tc>
          <w:tcPr>
            <w:tcW w:w="1160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034541" w:rsidRPr="00356AF9" w:rsidRDefault="00034541" w:rsidP="00356AF9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56AF9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</w:tbl>
    <w:p w:rsidR="00BF39C3" w:rsidRDefault="00BF39C3" w:rsidP="0032529C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EF7D43" w:rsidRDefault="00EF7D43" w:rsidP="0032529C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A821A8" w:rsidRPr="00BF39C3" w:rsidRDefault="00BF39C3" w:rsidP="0032529C">
      <w:pPr>
        <w:rPr>
          <w:rFonts w:eastAsia="Times New Roman" w:cstheme="minorHAnsi"/>
          <w:b/>
          <w:color w:val="006400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28F3F833" wp14:editId="3285910C">
            <wp:extent cx="2447257" cy="1015200"/>
            <wp:effectExtent l="0" t="0" r="0" b="0"/>
            <wp:docPr id="1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438" cy="102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1A8"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E65096">
        <w:rPr>
          <w:rFonts w:eastAsia="Times New Roman" w:cstheme="minorHAnsi"/>
          <w:b/>
          <w:color w:val="FF6E21"/>
          <w:sz w:val="24"/>
          <w:szCs w:val="24"/>
        </w:rPr>
        <w:t>FY 2023</w:t>
      </w:r>
      <w:r w:rsidR="00A821A8" w:rsidRPr="00EF4334">
        <w:rPr>
          <w:rFonts w:eastAsia="Times New Roman" w:cstheme="minorHAnsi"/>
          <w:b/>
          <w:color w:val="FF6E21"/>
          <w:sz w:val="24"/>
          <w:szCs w:val="24"/>
        </w:rPr>
        <w:t>-2</w:t>
      </w:r>
      <w:r w:rsidR="00E65096">
        <w:rPr>
          <w:rFonts w:eastAsia="Times New Roman" w:cstheme="minorHAnsi"/>
          <w:b/>
          <w:color w:val="FF6E21"/>
          <w:sz w:val="24"/>
          <w:szCs w:val="24"/>
        </w:rPr>
        <w:t xml:space="preserve">4 </w:t>
      </w:r>
      <w:r w:rsidR="00A821A8"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="00A821A8"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="00A821A8"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="00A821A8" w:rsidRPr="00EF4334">
        <w:rPr>
          <w:rFonts w:eastAsia="Times New Roman" w:cstheme="minorHAnsi"/>
          <w:b/>
          <w:color w:val="FF6E21"/>
          <w:sz w:val="24"/>
          <w:szCs w:val="24"/>
        </w:rPr>
        <w:t>Human Settlements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853"/>
        <w:gridCol w:w="3023"/>
        <w:gridCol w:w="1134"/>
        <w:gridCol w:w="1701"/>
        <w:gridCol w:w="1134"/>
        <w:gridCol w:w="1701"/>
        <w:gridCol w:w="1134"/>
        <w:gridCol w:w="1701"/>
      </w:tblGrid>
      <w:tr w:rsidR="00464E30" w:rsidRPr="00464E30" w:rsidTr="00DD49AA">
        <w:trPr>
          <w:trHeight w:val="290"/>
          <w:tblHeader/>
        </w:trPr>
        <w:tc>
          <w:tcPr>
            <w:tcW w:w="1498" w:type="dxa"/>
            <w:shd w:val="clear" w:color="auto" w:fill="auto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3" w:type="dxa"/>
            <w:shd w:val="clear" w:color="auto" w:fill="auto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3" w:type="dxa"/>
            <w:shd w:val="clear" w:color="auto" w:fill="auto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DD49AA" w:rsidRPr="00464E30" w:rsidTr="00DD49AA">
        <w:trPr>
          <w:trHeight w:val="530"/>
          <w:tblHeader/>
        </w:trPr>
        <w:tc>
          <w:tcPr>
            <w:tcW w:w="1498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853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3023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464E30" w:rsidRPr="00DD49AA" w:rsidRDefault="00464E30" w:rsidP="00464E3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DD49AA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DD49AA" w:rsidRPr="00464E30" w:rsidTr="00DD49AA">
        <w:trPr>
          <w:trHeight w:val="480"/>
        </w:trPr>
        <w:tc>
          <w:tcPr>
            <w:tcW w:w="1498" w:type="dxa"/>
            <w:vMerge w:val="restart"/>
            <w:shd w:val="clear" w:color="auto" w:fill="auto"/>
            <w:hideMark/>
          </w:tcPr>
          <w:p w:rsidR="00DD49AA" w:rsidRPr="00CA410C" w:rsidRDefault="00DD49AA" w:rsidP="00DD49AA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Housing Needs, Research and Planning</w:t>
            </w:r>
          </w:p>
        </w:tc>
        <w:tc>
          <w:tcPr>
            <w:tcW w:w="1853" w:type="dxa"/>
            <w:vMerge w:val="restart"/>
            <w:shd w:val="clear" w:color="auto" w:fill="auto"/>
            <w:hideMark/>
          </w:tcPr>
          <w:p w:rsidR="00DD49AA" w:rsidRPr="00CA410C" w:rsidRDefault="00DD49AA" w:rsidP="00DD49AA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2.3: Planning</w:t>
            </w:r>
          </w:p>
        </w:tc>
        <w:tc>
          <w:tcPr>
            <w:tcW w:w="3023" w:type="dxa"/>
            <w:shd w:val="clear" w:color="auto" w:fill="auto"/>
            <w:hideMark/>
          </w:tcPr>
          <w:p w:rsidR="00DD49AA" w:rsidRPr="00464E30" w:rsidRDefault="00DD49AA" w:rsidP="00DD49AA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investment of the total Human Settlements allocation in PDAs</w:t>
            </w:r>
          </w:p>
        </w:tc>
        <w:tc>
          <w:tcPr>
            <w:tcW w:w="1134" w:type="dxa"/>
            <w:shd w:val="clear" w:color="auto" w:fill="auto"/>
            <w:hideMark/>
          </w:tcPr>
          <w:p w:rsidR="00DD49AA" w:rsidRPr="00464E30" w:rsidRDefault="00DD49AA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7.5</w:t>
            </w:r>
          </w:p>
        </w:tc>
        <w:tc>
          <w:tcPr>
            <w:tcW w:w="1701" w:type="dxa"/>
            <w:shd w:val="clear" w:color="auto" w:fill="auto"/>
            <w:hideMark/>
          </w:tcPr>
          <w:p w:rsidR="00DD49AA" w:rsidRPr="00464E30" w:rsidRDefault="00DD49AA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12.45</w:t>
            </w:r>
          </w:p>
        </w:tc>
        <w:tc>
          <w:tcPr>
            <w:tcW w:w="1134" w:type="dxa"/>
            <w:shd w:val="clear" w:color="auto" w:fill="auto"/>
            <w:hideMark/>
          </w:tcPr>
          <w:p w:rsidR="00DD49AA" w:rsidRPr="00464E30" w:rsidRDefault="00DD49AA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DD49AA" w:rsidRPr="00464E30" w:rsidRDefault="00DD49AA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28.1</w:t>
            </w:r>
          </w:p>
        </w:tc>
        <w:tc>
          <w:tcPr>
            <w:tcW w:w="1134" w:type="dxa"/>
            <w:shd w:val="clear" w:color="auto" w:fill="auto"/>
            <w:hideMark/>
          </w:tcPr>
          <w:p w:rsidR="00DD49AA" w:rsidRPr="00464E30" w:rsidRDefault="00DD49AA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22.5</w:t>
            </w:r>
          </w:p>
        </w:tc>
        <w:tc>
          <w:tcPr>
            <w:tcW w:w="1701" w:type="dxa"/>
            <w:shd w:val="clear" w:color="auto" w:fill="auto"/>
            <w:hideMark/>
          </w:tcPr>
          <w:p w:rsidR="00DD49AA" w:rsidRPr="00464E30" w:rsidRDefault="00DD49AA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45.5</w:t>
            </w:r>
          </w:p>
        </w:tc>
      </w:tr>
      <w:tr w:rsidR="00CA410C" w:rsidRPr="00464E30" w:rsidTr="00DD49AA">
        <w:trPr>
          <w:trHeight w:val="480"/>
        </w:trPr>
        <w:tc>
          <w:tcPr>
            <w:tcW w:w="1498" w:type="dxa"/>
            <w:vMerge/>
            <w:shd w:val="clear" w:color="auto" w:fill="auto"/>
          </w:tcPr>
          <w:p w:rsidR="00CA410C" w:rsidRPr="00CA410C" w:rsidRDefault="00CA410C" w:rsidP="00CA410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:rsidR="00CA410C" w:rsidRPr="00CA410C" w:rsidRDefault="00CA410C" w:rsidP="00CA410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auto"/>
          </w:tcPr>
          <w:p w:rsidR="00CA410C" w:rsidRPr="00464E30" w:rsidRDefault="00CA410C" w:rsidP="00CA410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Percentage of land acquired during 2014-2019 within the PDA’s rezoned </w:t>
            </w:r>
          </w:p>
        </w:tc>
        <w:tc>
          <w:tcPr>
            <w:tcW w:w="1134" w:type="dxa"/>
            <w:shd w:val="clear" w:color="auto" w:fill="auto"/>
          </w:tcPr>
          <w:p w:rsidR="00CA410C" w:rsidRPr="00464E30" w:rsidRDefault="00CA410C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CA410C" w:rsidRPr="00464E30" w:rsidRDefault="00CA410C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A410C" w:rsidRPr="00464E30" w:rsidRDefault="00CA410C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CA410C" w:rsidRPr="00464E30" w:rsidRDefault="00CA410C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A410C" w:rsidRPr="00464E30" w:rsidRDefault="00CA410C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CA410C" w:rsidRPr="00464E30" w:rsidRDefault="00CA410C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DD49AA" w:rsidRPr="00464E30" w:rsidTr="00CA410C">
        <w:trPr>
          <w:trHeight w:val="50"/>
        </w:trPr>
        <w:tc>
          <w:tcPr>
            <w:tcW w:w="1498" w:type="dxa"/>
            <w:vMerge w:val="restart"/>
            <w:shd w:val="clear" w:color="auto" w:fill="auto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Housing Development</w:t>
            </w:r>
          </w:p>
        </w:tc>
        <w:tc>
          <w:tcPr>
            <w:tcW w:w="1853" w:type="dxa"/>
            <w:shd w:val="clear" w:color="auto" w:fill="auto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3.2: Financial Interventions</w:t>
            </w: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households that received subsidies through FLISP (Finance Linked Individual Subsidy Programme)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</w:tr>
      <w:tr w:rsidR="00DD49AA" w:rsidRPr="00464E30" w:rsidTr="00CA410C">
        <w:trPr>
          <w:trHeight w:val="409"/>
        </w:trPr>
        <w:tc>
          <w:tcPr>
            <w:tcW w:w="1498" w:type="dxa"/>
            <w:vMerge/>
            <w:vAlign w:val="center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shd w:val="clear" w:color="auto" w:fill="auto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3.3: Incremental Interventions</w:t>
            </w: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Breaking New Ground (BNG) houses delivered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142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142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142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</w:tr>
      <w:tr w:rsidR="00DD49AA" w:rsidRPr="00464E30" w:rsidTr="00CA410C">
        <w:trPr>
          <w:trHeight w:val="256"/>
        </w:trPr>
        <w:tc>
          <w:tcPr>
            <w:tcW w:w="1498" w:type="dxa"/>
            <w:vMerge/>
            <w:vAlign w:val="center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53" w:type="dxa"/>
            <w:vMerge/>
            <w:vAlign w:val="center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serviced sites delivered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210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747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518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217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1175</w:t>
            </w:r>
          </w:p>
        </w:tc>
      </w:tr>
      <w:tr w:rsidR="00DD49AA" w:rsidRPr="00464E30" w:rsidTr="00CA410C">
        <w:trPr>
          <w:trHeight w:val="429"/>
        </w:trPr>
        <w:tc>
          <w:tcPr>
            <w:tcW w:w="1498" w:type="dxa"/>
            <w:vMerge/>
            <w:vAlign w:val="center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853" w:type="dxa"/>
            <w:shd w:val="clear" w:color="auto" w:fill="auto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3.4: Social and Rental Intervention</w:t>
            </w: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rental social housing units delivered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47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DD49AA" w:rsidRPr="00464E30" w:rsidTr="00CA410C">
        <w:trPr>
          <w:trHeight w:val="513"/>
        </w:trPr>
        <w:tc>
          <w:tcPr>
            <w:tcW w:w="1498" w:type="dxa"/>
            <w:vMerge w:val="restart"/>
            <w:shd w:val="clear" w:color="auto" w:fill="auto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4: Housing Asset Management </w:t>
            </w:r>
          </w:p>
        </w:tc>
        <w:tc>
          <w:tcPr>
            <w:tcW w:w="1853" w:type="dxa"/>
            <w:vMerge w:val="restart"/>
            <w:shd w:val="clear" w:color="auto" w:fill="auto"/>
            <w:hideMark/>
          </w:tcPr>
          <w:p w:rsidR="00464E30" w:rsidRPr="00CA410C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4.2: Sale and transfer of Housing Properties</w:t>
            </w: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Pre-1994 title deeds registered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DD49AA" w:rsidRPr="00464E30" w:rsidTr="00CA410C">
        <w:trPr>
          <w:trHeight w:val="280"/>
        </w:trPr>
        <w:tc>
          <w:tcPr>
            <w:tcW w:w="1498" w:type="dxa"/>
            <w:vMerge/>
            <w:vAlign w:val="center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853" w:type="dxa"/>
            <w:vMerge/>
            <w:vAlign w:val="center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Post-1994 title deeds registered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925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925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925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</w:t>
            </w:r>
          </w:p>
        </w:tc>
      </w:tr>
      <w:tr w:rsidR="00DD49AA" w:rsidRPr="00464E30" w:rsidTr="00CA410C">
        <w:trPr>
          <w:trHeight w:val="385"/>
        </w:trPr>
        <w:tc>
          <w:tcPr>
            <w:tcW w:w="1498" w:type="dxa"/>
            <w:vMerge/>
            <w:vAlign w:val="center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853" w:type="dxa"/>
            <w:vMerge/>
            <w:vAlign w:val="center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Post- 2014 title deeds registered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162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162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162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32</w:t>
            </w:r>
          </w:p>
        </w:tc>
      </w:tr>
      <w:tr w:rsidR="00DD49AA" w:rsidRPr="00464E30" w:rsidTr="00CA410C">
        <w:trPr>
          <w:trHeight w:val="94"/>
        </w:trPr>
        <w:tc>
          <w:tcPr>
            <w:tcW w:w="1498" w:type="dxa"/>
            <w:vMerge/>
            <w:vAlign w:val="center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853" w:type="dxa"/>
            <w:vMerge/>
            <w:vAlign w:val="center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auto"/>
            <w:hideMark/>
          </w:tcPr>
          <w:p w:rsidR="00464E30" w:rsidRPr="00464E30" w:rsidRDefault="00464E30" w:rsidP="00464E3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New title deeds registered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464E30" w:rsidRPr="00464E30" w:rsidRDefault="00464E30" w:rsidP="00CA410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464E3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</w:tr>
    </w:tbl>
    <w:p w:rsidR="00E416A7" w:rsidRDefault="00E416A7" w:rsidP="0032529C">
      <w:pPr>
        <w:rPr>
          <w:rFonts w:eastAsia="Times New Roman" w:cstheme="minorHAnsi"/>
          <w:color w:val="006400"/>
          <w:sz w:val="24"/>
          <w:szCs w:val="24"/>
        </w:rPr>
      </w:pPr>
    </w:p>
    <w:p w:rsidR="00EF7D43" w:rsidRPr="00EF4334" w:rsidRDefault="00EF7D43" w:rsidP="0032529C">
      <w:pPr>
        <w:rPr>
          <w:rFonts w:eastAsia="Times New Roman" w:cstheme="minorHAnsi"/>
          <w:color w:val="006400"/>
          <w:sz w:val="24"/>
          <w:szCs w:val="24"/>
        </w:rPr>
      </w:pPr>
    </w:p>
    <w:p w:rsidR="00A91D57" w:rsidRPr="00EF4334" w:rsidRDefault="00A91D57" w:rsidP="00A91D57">
      <w:pPr>
        <w:rPr>
          <w:rFonts w:eastAsia="Times New Roman" w:cstheme="minorHAnsi"/>
          <w:b/>
          <w:color w:val="FF6E21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021081F0" wp14:editId="4E559899">
            <wp:extent cx="2540203" cy="999591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color w:val="006400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DF10DD">
        <w:rPr>
          <w:rFonts w:eastAsia="Times New Roman" w:cstheme="minorHAnsi"/>
          <w:b/>
          <w:color w:val="FF6E21"/>
          <w:sz w:val="24"/>
          <w:szCs w:val="24"/>
        </w:rPr>
        <w:t xml:space="preserve">FY 2023-24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 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Agriculture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2835"/>
        <w:gridCol w:w="1134"/>
        <w:gridCol w:w="1701"/>
        <w:gridCol w:w="1134"/>
        <w:gridCol w:w="1701"/>
        <w:gridCol w:w="1134"/>
        <w:gridCol w:w="1701"/>
      </w:tblGrid>
      <w:tr w:rsidR="00FC4C7F" w:rsidRPr="00FC4C7F" w:rsidTr="00CA410C">
        <w:trPr>
          <w:trHeight w:val="290"/>
          <w:tblHeader/>
        </w:trPr>
        <w:tc>
          <w:tcPr>
            <w:tcW w:w="1555" w:type="dxa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FC4C7F" w:rsidRPr="00FC4C7F" w:rsidTr="00CA410C">
        <w:trPr>
          <w:trHeight w:val="290"/>
          <w:tblHeader/>
        </w:trPr>
        <w:tc>
          <w:tcPr>
            <w:tcW w:w="1555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984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CA410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FC4C7F" w:rsidRPr="00FC4C7F" w:rsidTr="00CA410C">
        <w:trPr>
          <w:trHeight w:val="625"/>
        </w:trPr>
        <w:tc>
          <w:tcPr>
            <w:tcW w:w="1555" w:type="dxa"/>
            <w:vMerge w:val="restart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1984" w:type="dxa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 Programme 1.2: Senior Management 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gender mainstreaming programmes pertaining to designated groups monitored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</w:tr>
      <w:tr w:rsidR="00FC4C7F" w:rsidRPr="00FC4C7F" w:rsidTr="00CA410C">
        <w:trPr>
          <w:trHeight w:val="379"/>
        </w:trPr>
        <w:tc>
          <w:tcPr>
            <w:tcW w:w="1555" w:type="dxa"/>
            <w:vMerge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1.4: Financial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expenditure in relation to the allocated budget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71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84</w:t>
            </w:r>
          </w:p>
        </w:tc>
      </w:tr>
      <w:tr w:rsidR="00FC4C7F" w:rsidRPr="00FC4C7F" w:rsidTr="00CA410C">
        <w:trPr>
          <w:trHeight w:val="216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Percentage own revenue collected 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177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115</w:t>
            </w:r>
          </w:p>
        </w:tc>
      </w:tr>
      <w:tr w:rsidR="00FC4C7F" w:rsidRPr="00FC4C7F" w:rsidTr="00CA410C">
        <w:trPr>
          <w:trHeight w:val="417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invoices paid within 30 days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99.3</w:t>
            </w:r>
          </w:p>
        </w:tc>
      </w:tr>
      <w:tr w:rsidR="00FC4C7F" w:rsidRPr="00FC4C7F" w:rsidTr="00CA410C">
        <w:trPr>
          <w:trHeight w:val="290"/>
        </w:trPr>
        <w:tc>
          <w:tcPr>
            <w:tcW w:w="1555" w:type="dxa"/>
            <w:vMerge w:val="restart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Sustainable Resource Use and Management</w:t>
            </w:r>
          </w:p>
        </w:tc>
        <w:tc>
          <w:tcPr>
            <w:tcW w:w="1984" w:type="dxa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2.1: Agricultural Engineering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agricultural infrastructure established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8</w:t>
            </w:r>
          </w:p>
        </w:tc>
      </w:tr>
      <w:tr w:rsidR="00FC4C7F" w:rsidRPr="00FC4C7F" w:rsidTr="00CA410C">
        <w:trPr>
          <w:trHeight w:val="290"/>
        </w:trPr>
        <w:tc>
          <w:tcPr>
            <w:tcW w:w="1555" w:type="dxa"/>
            <w:vMerge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2.2: Land Care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hectares of agricultural land rehabilitated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1600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833</w:t>
            </w:r>
          </w:p>
        </w:tc>
      </w:tr>
      <w:tr w:rsidR="00FC4C7F" w:rsidRPr="00FC4C7F" w:rsidTr="00CA410C">
        <w:trPr>
          <w:trHeight w:val="290"/>
        </w:trPr>
        <w:tc>
          <w:tcPr>
            <w:tcW w:w="1555" w:type="dxa"/>
            <w:vMerge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green jobs created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130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77</w:t>
            </w:r>
          </w:p>
        </w:tc>
      </w:tr>
      <w:tr w:rsidR="00FC4C7F" w:rsidRPr="00FC4C7F" w:rsidTr="00CA410C">
        <w:trPr>
          <w:trHeight w:val="290"/>
        </w:trPr>
        <w:tc>
          <w:tcPr>
            <w:tcW w:w="1555" w:type="dxa"/>
            <w:vMerge/>
            <w:vAlign w:val="center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CA410C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A410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2.3: Land Use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farm management plans developed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</w:tr>
      <w:tr w:rsidR="00FC4C7F" w:rsidRPr="00FC4C7F" w:rsidTr="00CA410C">
        <w:trPr>
          <w:trHeight w:val="29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1"/>
              <w:rPr>
                <w:rFonts w:eastAsia="Times New Roman" w:cs="Calibri"/>
                <w:b/>
                <w:bCs/>
                <w:color w:val="4C68A2"/>
                <w:sz w:val="18"/>
                <w:szCs w:val="18"/>
              </w:rPr>
            </w:pP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2.4: Disaster Risk Reduction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awareness campaigns on disaster risk reduction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65081E" w:rsidRDefault="00FC4C7F" w:rsidP="0065081E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65081E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surveys on uptake for early warning information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FC4C7F" w:rsidRPr="00FC4C7F" w:rsidTr="00CA410C">
        <w:trPr>
          <w:trHeight w:val="1200"/>
        </w:trPr>
        <w:tc>
          <w:tcPr>
            <w:tcW w:w="1555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3: Agricultural Producer Support and Development 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3.1: Producer Support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producers supported in the Red Meat Commodity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219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225</w:t>
            </w:r>
          </w:p>
        </w:tc>
      </w:tr>
      <w:tr w:rsidR="00FC4C7F" w:rsidRPr="00FC4C7F" w:rsidTr="0065081E">
        <w:trPr>
          <w:trHeight w:val="528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producers supported in the Grain Commodity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producers supported in the Cotton Commodity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producers supported in the Citrus Commodity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FC4C7F" w:rsidRPr="00FC4C7F" w:rsidTr="0065081E">
        <w:trPr>
          <w:trHeight w:val="563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3.2: Extension and Advisory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work opportunities created through EPWP (CASP and </w:t>
            </w:r>
            <w:proofErr w:type="spellStart"/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Ilima</w:t>
            </w:r>
            <w:proofErr w:type="spellEnd"/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/</w:t>
            </w:r>
            <w:proofErr w:type="spellStart"/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Letsema</w:t>
            </w:r>
            <w:proofErr w:type="spellEnd"/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151</w:t>
            </w:r>
          </w:p>
        </w:tc>
      </w:tr>
      <w:tr w:rsidR="00FC4C7F" w:rsidRPr="00FC4C7F" w:rsidTr="0065081E">
        <w:trPr>
          <w:trHeight w:val="317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3.3: Food Security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smallholder producers supported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FC4C7F" w:rsidRPr="00FC4C7F" w:rsidTr="0065081E">
        <w:trPr>
          <w:trHeight w:val="409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subsistence producers supported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168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400</w:t>
            </w:r>
          </w:p>
        </w:tc>
      </w:tr>
      <w:tr w:rsidR="00FC4C7F" w:rsidRPr="00FC4C7F" w:rsidTr="0065081E">
        <w:trPr>
          <w:trHeight w:val="671"/>
        </w:trPr>
        <w:tc>
          <w:tcPr>
            <w:tcW w:w="1555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 Veterinary Services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4.1: Animal Health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samples collected for targeted animal disease surveillance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127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271</w:t>
            </w:r>
          </w:p>
        </w:tc>
      </w:tr>
      <w:tr w:rsidR="00FC4C7F" w:rsidRPr="00FC4C7F" w:rsidTr="0065081E">
        <w:trPr>
          <w:trHeight w:val="425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visits to epidemiological units for veterinary interventions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1117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65081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783</w:t>
            </w:r>
          </w:p>
        </w:tc>
      </w:tr>
      <w:tr w:rsidR="00FC4C7F" w:rsidRPr="00FC4C7F" w:rsidTr="0065081E">
        <w:trPr>
          <w:trHeight w:val="277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veterinary consultations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788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857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684</w:t>
            </w:r>
          </w:p>
        </w:tc>
      </w:tr>
      <w:tr w:rsidR="00FC4C7F" w:rsidRPr="00FC4C7F" w:rsidTr="0065081E">
        <w:trPr>
          <w:trHeight w:val="397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4.2: Veterinary International Trade Facilitation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veterinary certificates issued for export facilitation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359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388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334</w:t>
            </w:r>
          </w:p>
        </w:tc>
      </w:tr>
      <w:tr w:rsidR="00FC4C7F" w:rsidRPr="00FC4C7F" w:rsidTr="0065081E">
        <w:trPr>
          <w:trHeight w:val="211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4.3: Veterinary Public Health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inspections conducted on facilities producing meat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36</w:t>
            </w:r>
          </w:p>
        </w:tc>
      </w:tr>
      <w:tr w:rsidR="00FC4C7F" w:rsidRPr="00FC4C7F" w:rsidTr="0065081E">
        <w:trPr>
          <w:trHeight w:val="473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Food Safety campaigns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FC4C7F" w:rsidRPr="00FC4C7F" w:rsidTr="0065081E">
        <w:trPr>
          <w:trHeight w:val="669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4.4: Veterinary Diagnostics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laboratory tests performed according to approved standards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28448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20000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2634</w:t>
            </w:r>
          </w:p>
        </w:tc>
      </w:tr>
      <w:tr w:rsidR="00FC4C7F" w:rsidRPr="00FC4C7F" w:rsidTr="0065081E">
        <w:trPr>
          <w:trHeight w:val="244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4.5: Veterinary Technical Support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Performing Animals Protection Act (PAPA) registration licences issued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5: Research and </w:t>
            </w: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lastRenderedPageBreak/>
              <w:t>Technology Development Services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lastRenderedPageBreak/>
              <w:t>Sub Programme 5.2: Technology Transfer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research presentations made at peer reviewed events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FC4C7F" w:rsidRPr="00FC4C7F" w:rsidTr="0065081E">
        <w:trPr>
          <w:trHeight w:val="298"/>
        </w:trPr>
        <w:tc>
          <w:tcPr>
            <w:tcW w:w="1555" w:type="dxa"/>
            <w:vMerge/>
            <w:vAlign w:val="center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research presentations made at technology transfer events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FC4C7F" w:rsidRPr="00FC4C7F" w:rsidTr="0065081E">
        <w:trPr>
          <w:trHeight w:val="79"/>
        </w:trPr>
        <w:tc>
          <w:tcPr>
            <w:tcW w:w="1555" w:type="dxa"/>
            <w:vMerge/>
            <w:vAlign w:val="center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scientific investigations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6: Agricultural Economic Services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6.1: Production Economics and Marketing Support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agri-businesses supported with marketing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32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74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73</w:t>
            </w: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clients supported with production economic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agribusinesses supported with Black Economic Empowerment advisory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FC4C7F" w:rsidRPr="00FC4C7F" w:rsidTr="00CA410C">
        <w:trPr>
          <w:trHeight w:val="290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6.3: Macroeconomics Support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economic reports compiled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FC4C7F" w:rsidRPr="00FC4C7F" w:rsidTr="00CA410C">
        <w:trPr>
          <w:trHeight w:val="480"/>
        </w:trPr>
        <w:tc>
          <w:tcPr>
            <w:tcW w:w="1555" w:type="dxa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7: Agricultural Education and Training</w:t>
            </w:r>
          </w:p>
        </w:tc>
        <w:tc>
          <w:tcPr>
            <w:tcW w:w="1984" w:type="dxa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7.2: Agricultural Skills Development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participants trained in skills development programmes in the sector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409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393</w:t>
            </w:r>
          </w:p>
        </w:tc>
      </w:tr>
      <w:tr w:rsidR="00FC4C7F" w:rsidRPr="00FC4C7F" w:rsidTr="0065081E">
        <w:trPr>
          <w:trHeight w:val="387"/>
        </w:trPr>
        <w:tc>
          <w:tcPr>
            <w:tcW w:w="1555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8: Rural Development 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65081E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 Programme 8.1: Rural Development Coordination 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farmworker advocacy sessions held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FC4C7F" w:rsidRPr="00FC4C7F" w:rsidTr="0065081E">
        <w:trPr>
          <w:trHeight w:val="355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farmworkers  assisted to access government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283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286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240</w:t>
            </w:r>
          </w:p>
        </w:tc>
      </w:tr>
      <w:tr w:rsidR="00FC4C7F" w:rsidRPr="00FC4C7F" w:rsidTr="0065081E">
        <w:trPr>
          <w:trHeight w:val="471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Land Holding Institutions (LHI) supported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FC4C7F" w:rsidRPr="00FC4C7F" w:rsidTr="0065081E">
        <w:trPr>
          <w:trHeight w:val="421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supported to manage commonages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</w:tr>
      <w:tr w:rsidR="00FC4C7F" w:rsidRPr="00FC4C7F" w:rsidTr="0065081E">
        <w:trPr>
          <w:trHeight w:val="399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65081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 Programme 8.2: Social Facilitation </w:t>
            </w: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Council of stakeholders established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FC4C7F" w:rsidRPr="00FC4C7F" w:rsidTr="0065081E">
        <w:trPr>
          <w:trHeight w:val="377"/>
        </w:trPr>
        <w:tc>
          <w:tcPr>
            <w:tcW w:w="1555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FC4C7F" w:rsidRPr="00FC4C7F" w:rsidRDefault="00FC4C7F" w:rsidP="00FC4C7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Council of stakeholders supported 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FC4C7F" w:rsidRPr="00FC4C7F" w:rsidRDefault="00FC4C7F" w:rsidP="00E6425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FC4C7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</w:tbl>
    <w:p w:rsidR="00C40401" w:rsidRDefault="00C40401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616B1D" w:rsidRDefault="00616B1D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616B1D" w:rsidRDefault="00616B1D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9458CF" w:rsidRDefault="009458CF" w:rsidP="000248EE">
      <w:pPr>
        <w:rPr>
          <w:rFonts w:eastAsia="Times New Roman" w:cstheme="minorHAnsi"/>
          <w:color w:val="006400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458536F9" wp14:editId="229AB9C3">
            <wp:extent cx="2540203" cy="999591"/>
            <wp:effectExtent l="0" t="0" r="0" b="0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color w:val="006400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FC290D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 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Environmental Affairs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968"/>
        <w:gridCol w:w="2835"/>
        <w:gridCol w:w="1134"/>
        <w:gridCol w:w="1701"/>
        <w:gridCol w:w="1134"/>
        <w:gridCol w:w="1701"/>
        <w:gridCol w:w="1134"/>
        <w:gridCol w:w="1701"/>
      </w:tblGrid>
      <w:tr w:rsidR="00E82B68" w:rsidRPr="00E82B68" w:rsidTr="009A79F2">
        <w:trPr>
          <w:trHeight w:val="290"/>
          <w:tblHeader/>
        </w:trPr>
        <w:tc>
          <w:tcPr>
            <w:tcW w:w="1571" w:type="dxa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8" w:type="dxa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E82B68" w:rsidRPr="00E82B68" w:rsidTr="009A79F2">
        <w:trPr>
          <w:trHeight w:val="290"/>
          <w:tblHeader/>
        </w:trPr>
        <w:tc>
          <w:tcPr>
            <w:tcW w:w="1571" w:type="dxa"/>
            <w:shd w:val="clear" w:color="FF6E21" w:fill="FF6E21"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968" w:type="dxa"/>
            <w:shd w:val="clear" w:color="FF6E21" w:fill="FF6E21"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E82B68" w:rsidRPr="009A79F2" w:rsidRDefault="00E82B68" w:rsidP="009A79F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82B68" w:rsidRPr="009A79F2" w:rsidRDefault="00E82B68" w:rsidP="009A79F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E82B68" w:rsidRPr="009A79F2" w:rsidRDefault="00E82B68" w:rsidP="009A79F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82B68" w:rsidRPr="009A79F2" w:rsidRDefault="00E82B68" w:rsidP="009A79F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E82B68" w:rsidRPr="009A79F2" w:rsidRDefault="00E82B68" w:rsidP="009A79F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82B68" w:rsidRPr="009A79F2" w:rsidRDefault="00E82B68" w:rsidP="009A79F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9A79F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E82B68" w:rsidRPr="00E82B68" w:rsidTr="009A79F2">
        <w:trPr>
          <w:trHeight w:val="1050"/>
        </w:trPr>
        <w:tc>
          <w:tcPr>
            <w:tcW w:w="1571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Compliance and Enforcement</w:t>
            </w:r>
          </w:p>
        </w:tc>
        <w:tc>
          <w:tcPr>
            <w:tcW w:w="1968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Compliance and Enforcement</w:t>
            </w: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administrative enforcement notices issued for non-compliance with environmental management legislation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</w:tr>
      <w:tr w:rsidR="00E82B68" w:rsidRPr="00E82B68" w:rsidTr="009A79F2">
        <w:trPr>
          <w:trHeight w:val="655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completed criminal investigations handed to the NPA for prosecution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82B68" w:rsidRPr="00E82B68" w:rsidTr="009A79F2">
        <w:trPr>
          <w:trHeight w:val="409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compliance inspections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</w:tr>
      <w:tr w:rsidR="00E82B68" w:rsidRPr="00E82B68" w:rsidTr="009A79F2">
        <w:trPr>
          <w:trHeight w:val="671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compliance to legal obligations in respect of licensed facilities inspected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78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43.3</w:t>
            </w:r>
          </w:p>
        </w:tc>
      </w:tr>
      <w:tr w:rsidR="00E82B68" w:rsidRPr="00E82B68" w:rsidTr="009A79F2">
        <w:trPr>
          <w:trHeight w:val="836"/>
        </w:trPr>
        <w:tc>
          <w:tcPr>
            <w:tcW w:w="1571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Environmental Quality Management</w:t>
            </w:r>
          </w:p>
        </w:tc>
        <w:tc>
          <w:tcPr>
            <w:tcW w:w="1968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Environmental Quality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complete Environmental Impact Assessment (EIA) applications finalized within legislated timeframes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91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</w:tr>
      <w:tr w:rsidR="00E82B68" w:rsidRPr="00E82B68" w:rsidTr="009A79F2">
        <w:trPr>
          <w:trHeight w:val="480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complete Atmospheric Emission Licenses (AELs) issued within legislated timeframes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E82B68" w:rsidRPr="00E82B68" w:rsidTr="009A79F2">
        <w:trPr>
          <w:trHeight w:val="480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complete Waste License applications finalised within legislated time-frames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82B68" w:rsidRPr="00E82B68" w:rsidTr="009A79F2">
        <w:trPr>
          <w:trHeight w:val="375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municipalities supported 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E82B68" w:rsidRPr="00E82B68" w:rsidTr="009A79F2">
        <w:trPr>
          <w:trHeight w:val="50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waste SMME’s supported 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</w:tr>
      <w:tr w:rsidR="00E82B68" w:rsidRPr="00E82B68" w:rsidTr="009A79F2">
        <w:trPr>
          <w:trHeight w:val="669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learners capacitated through environmental learning activities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2869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1285</w:t>
            </w:r>
          </w:p>
        </w:tc>
      </w:tr>
      <w:tr w:rsidR="00E82B68" w:rsidRPr="00E82B68" w:rsidTr="009A79F2">
        <w:trPr>
          <w:trHeight w:val="409"/>
        </w:trPr>
        <w:tc>
          <w:tcPr>
            <w:tcW w:w="1571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5:  Biodiversity Management</w:t>
            </w:r>
          </w:p>
        </w:tc>
        <w:tc>
          <w:tcPr>
            <w:tcW w:w="1968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5:  Biodiversity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coastal engagement sessions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E82B68" w:rsidRPr="00E82B68" w:rsidTr="009A79F2">
        <w:trPr>
          <w:trHeight w:val="670"/>
        </w:trPr>
        <w:tc>
          <w:tcPr>
            <w:tcW w:w="1571" w:type="dxa"/>
            <w:vMerge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Community Based Natural Resource Management (CBNRM) stakeholders capacitated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153</w:t>
            </w:r>
          </w:p>
        </w:tc>
      </w:tr>
      <w:tr w:rsidR="00E82B68" w:rsidRPr="00E82B68" w:rsidTr="009A79F2">
        <w:trPr>
          <w:trHeight w:val="695"/>
        </w:trPr>
        <w:tc>
          <w:tcPr>
            <w:tcW w:w="1571" w:type="dxa"/>
            <w:vMerge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complete biodiversity management permits issued within legislated timeframes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94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97</w:t>
            </w:r>
          </w:p>
        </w:tc>
      </w:tr>
      <w:tr w:rsidR="00E82B68" w:rsidRPr="00E82B68" w:rsidTr="009A79F2">
        <w:trPr>
          <w:trHeight w:val="421"/>
        </w:trPr>
        <w:tc>
          <w:tcPr>
            <w:tcW w:w="1571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6: Environmental Empowerment Services  </w:t>
            </w:r>
          </w:p>
        </w:tc>
        <w:tc>
          <w:tcPr>
            <w:tcW w:w="1968" w:type="dxa"/>
            <w:vMerge w:val="restart"/>
            <w:shd w:val="clear" w:color="auto" w:fill="auto"/>
            <w:hideMark/>
          </w:tcPr>
          <w:p w:rsidR="00E82B68" w:rsidRPr="009A79F2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F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6: Environmental Empowerment Services  </w:t>
            </w: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environmental capacity building activities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</w:tr>
      <w:tr w:rsidR="00E82B68" w:rsidRPr="00E82B68" w:rsidTr="009A79F2">
        <w:trPr>
          <w:trHeight w:val="399"/>
        </w:trPr>
        <w:tc>
          <w:tcPr>
            <w:tcW w:w="1571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8" w:type="dxa"/>
            <w:vMerge/>
            <w:vAlign w:val="center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82B68" w:rsidRPr="00E82B68" w:rsidRDefault="00E82B68" w:rsidP="00E82B68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environmental awareness activities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82B68" w:rsidRPr="00E82B68" w:rsidRDefault="00E82B68" w:rsidP="009A79F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82B68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</w:tr>
    </w:tbl>
    <w:p w:rsidR="00670A0D" w:rsidRDefault="00670A0D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E82B68" w:rsidRPr="00EF4334" w:rsidRDefault="00E82B68" w:rsidP="000248EE">
      <w:pPr>
        <w:rPr>
          <w:rFonts w:eastAsia="Times New Roman" w:cstheme="minorHAnsi"/>
          <w:color w:val="006400"/>
          <w:sz w:val="24"/>
          <w:szCs w:val="24"/>
        </w:rPr>
      </w:pPr>
    </w:p>
    <w:p w:rsidR="00A91D57" w:rsidRDefault="00A91D57" w:rsidP="000248EE">
      <w:pPr>
        <w:rPr>
          <w:rFonts w:eastAsia="Times New Roman" w:cstheme="minorHAnsi"/>
          <w:b/>
          <w:color w:val="FF6E21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024BACC0" wp14:editId="2C2EF4B4">
            <wp:extent cx="2540203" cy="999591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color w:val="006400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341078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 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Economic Development and Tourism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966"/>
        <w:gridCol w:w="2835"/>
        <w:gridCol w:w="1134"/>
        <w:gridCol w:w="1701"/>
        <w:gridCol w:w="1134"/>
        <w:gridCol w:w="1701"/>
        <w:gridCol w:w="992"/>
        <w:gridCol w:w="1843"/>
      </w:tblGrid>
      <w:tr w:rsidR="00E06AF0" w:rsidRPr="00E06AF0" w:rsidTr="00FA4E33">
        <w:trPr>
          <w:trHeight w:val="290"/>
          <w:tblHeader/>
        </w:trPr>
        <w:tc>
          <w:tcPr>
            <w:tcW w:w="1573" w:type="dxa"/>
            <w:shd w:val="clear" w:color="auto" w:fill="auto"/>
            <w:hideMark/>
          </w:tcPr>
          <w:p w:rsidR="00E06AF0" w:rsidRPr="00FA4E33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6" w:type="dxa"/>
            <w:shd w:val="clear" w:color="auto" w:fill="auto"/>
            <w:hideMark/>
          </w:tcPr>
          <w:p w:rsidR="00E06AF0" w:rsidRPr="00FA4E33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FA4E33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E06AF0" w:rsidRPr="00E06AF0" w:rsidTr="00FA4E33">
        <w:trPr>
          <w:trHeight w:val="290"/>
          <w:tblHeader/>
        </w:trPr>
        <w:tc>
          <w:tcPr>
            <w:tcW w:w="1573" w:type="dxa"/>
            <w:shd w:val="clear" w:color="FF6E21" w:fill="FF6E21"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966" w:type="dxa"/>
            <w:shd w:val="clear" w:color="FF6E21" w:fill="FF6E21"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E06AF0" w:rsidRPr="00FA4E33" w:rsidRDefault="00E06AF0" w:rsidP="00FA4E33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06AF0" w:rsidRPr="00FA4E33" w:rsidRDefault="00E06AF0" w:rsidP="00FA4E33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E06AF0" w:rsidRPr="00FA4E33" w:rsidRDefault="00E06AF0" w:rsidP="00FA4E33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06AF0" w:rsidRPr="00FA4E33" w:rsidRDefault="00E06AF0" w:rsidP="00FA4E33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992" w:type="dxa"/>
            <w:shd w:val="clear" w:color="FF6E21" w:fill="FF6E21"/>
            <w:vAlign w:val="center"/>
            <w:hideMark/>
          </w:tcPr>
          <w:p w:rsidR="00E06AF0" w:rsidRPr="00FA4E33" w:rsidRDefault="00E06AF0" w:rsidP="00FA4E33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843" w:type="dxa"/>
            <w:shd w:val="clear" w:color="FF6E21" w:fill="FF6E21"/>
            <w:vAlign w:val="center"/>
            <w:hideMark/>
          </w:tcPr>
          <w:p w:rsidR="00E06AF0" w:rsidRPr="00FA4E33" w:rsidRDefault="00E06AF0" w:rsidP="00FA4E33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A4E33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E06AF0" w:rsidRPr="00E06AF0" w:rsidTr="00FA4E33">
        <w:trPr>
          <w:trHeight w:val="341"/>
        </w:trPr>
        <w:tc>
          <w:tcPr>
            <w:tcW w:w="1573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1966" w:type="dxa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1.2: Financial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% of invoices paid within 30 days.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06AF0" w:rsidRPr="00E06AF0" w:rsidTr="00FA4E33">
        <w:trPr>
          <w:trHeight w:val="319"/>
        </w:trPr>
        <w:tc>
          <w:tcPr>
            <w:tcW w:w="1573" w:type="dxa"/>
            <w:vMerge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1.3: Corporate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comprehensive HRD statistical reports.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580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departmental Social Responsibility, Diversity &amp; Health and Wellness initiatives held.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618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departmental Information dissemination initiatives implemented.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374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Percentage of Local Area network Uptime maintained.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</w:tr>
      <w:tr w:rsidR="00E06AF0" w:rsidRPr="00E06AF0" w:rsidTr="00FA4E33">
        <w:trPr>
          <w:trHeight w:val="351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Percentage of Wide Area Network uptime maintained.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</w:tr>
      <w:tr w:rsidR="00E06AF0" w:rsidRPr="00E06AF0" w:rsidTr="00FA4E33">
        <w:trPr>
          <w:trHeight w:val="528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E06AF0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Sub-Programme: 1.1 Executive Support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% of recommendations accepted by the Economic Sectors Employment Investment and Infrastructure Development Cluster.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84.61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06AF0" w:rsidRPr="00E06AF0" w:rsidTr="00FA4E33">
        <w:trPr>
          <w:trHeight w:val="960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Monitoring reports on the impact of economic development initiatives in the Province.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232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Evaluation reports.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06AF0" w:rsidRPr="00E06AF0" w:rsidTr="00FA4E33">
        <w:trPr>
          <w:trHeight w:val="50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Percentage of legislatively compliant entities reporting to the MEC for Economic Development and Tourism.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FA4E33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E06AF0" w:rsidRPr="00E06AF0" w:rsidTr="00FA4E33">
        <w:trPr>
          <w:trHeight w:val="669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Risk and Integrity Management Committee reports compiled.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268"/>
        </w:trPr>
        <w:tc>
          <w:tcPr>
            <w:tcW w:w="1573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Integrated Economic Development Services</w:t>
            </w: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2.1: Regional a</w:t>
            </w: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nd Local Economic Development  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LED forums conducted at local municipalities.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387"/>
        </w:trPr>
        <w:tc>
          <w:tcPr>
            <w:tcW w:w="1573" w:type="dxa"/>
            <w:vMerge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mining interventions facilitated.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</w:tr>
      <w:tr w:rsidR="00E06AF0" w:rsidRPr="00E06AF0" w:rsidTr="00FA4E33">
        <w:trPr>
          <w:trHeight w:val="365"/>
        </w:trPr>
        <w:tc>
          <w:tcPr>
            <w:tcW w:w="1573" w:type="dxa"/>
            <w:vMerge/>
            <w:vAlign w:val="center"/>
            <w:hideMark/>
          </w:tcPr>
          <w:p w:rsidR="00E06AF0" w:rsidRPr="00FA4E33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2.2: Economic Empower</w:t>
            </w:r>
            <w:r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ment, Preferential Procurement a</w:t>
            </w: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nd </w:t>
            </w:r>
            <w:r w:rsidR="00E06AF0"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BBBEE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Enterprises assisted with non-financial support services.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252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329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257</w:t>
            </w:r>
          </w:p>
        </w:tc>
      </w:tr>
      <w:tr w:rsidR="00E06AF0" w:rsidRPr="00E06AF0" w:rsidTr="00FA4E33">
        <w:trPr>
          <w:trHeight w:val="61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targeted groups upskilled to participate in the mainstream economy.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</w:tr>
      <w:tr w:rsidR="00E06AF0" w:rsidRPr="00E06AF0" w:rsidTr="00FA4E33">
        <w:trPr>
          <w:trHeight w:val="641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interventions conducted to capacitate HDI’s to access economic opportunities.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</w:tr>
      <w:tr w:rsidR="00E06AF0" w:rsidRPr="00E06AF0" w:rsidTr="00FA4E33">
        <w:trPr>
          <w:trHeight w:val="395"/>
        </w:trPr>
        <w:tc>
          <w:tcPr>
            <w:tcW w:w="1573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Trade a</w:t>
            </w: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nd Sector Development</w:t>
            </w: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3.1: Sector Development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Manufacturing Sector interventions.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37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Energy Sector interventions.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FA4E33">
        <w:trPr>
          <w:trHeight w:val="49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E06AF0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3.2: Trade a</w:t>
            </w: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nd Investment Promotion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NCEDA Investment Oversight reports compiled.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0</w:t>
            </w:r>
          </w:p>
        </w:tc>
      </w:tr>
      <w:tr w:rsidR="00E06AF0" w:rsidRPr="00E06AF0" w:rsidTr="00FA4E33">
        <w:trPr>
          <w:trHeight w:val="415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Investment projects marketed.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</w:t>
            </w:r>
          </w:p>
        </w:tc>
      </w:tr>
      <w:tr w:rsidR="00E06AF0" w:rsidRPr="00E06AF0" w:rsidTr="00FA4E33">
        <w:trPr>
          <w:trHeight w:val="39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provincial emerging exporters trained.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71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316102" w:rsidRDefault="00E06AF0" w:rsidP="00316102">
            <w:pPr>
              <w:spacing w:after="0" w:line="240" w:lineRule="auto"/>
              <w:jc w:val="center"/>
              <w:outlineLvl w:val="2"/>
              <w:rPr>
                <w:rFonts w:eastAsia="Times New Roman" w:cs="Calibri"/>
                <w:color w:val="4D4D4D"/>
                <w:sz w:val="18"/>
                <w:szCs w:val="18"/>
              </w:rPr>
            </w:pPr>
            <w:r w:rsidRPr="00316102">
              <w:rPr>
                <w:rFonts w:eastAsia="Times New Roman" w:cs="Calibri"/>
                <w:color w:val="4D4D4D"/>
                <w:sz w:val="18"/>
                <w:szCs w:val="18"/>
              </w:rPr>
              <w:t>31</w:t>
            </w:r>
          </w:p>
        </w:tc>
      </w:tr>
      <w:tr w:rsidR="00E06AF0" w:rsidRPr="00E06AF0" w:rsidTr="00FA4E33">
        <w:trPr>
          <w:trHeight w:val="51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entrepreneurs exposed to export opportunities.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</w:tr>
      <w:tr w:rsidR="00E06AF0" w:rsidRPr="00E06AF0" w:rsidTr="00FA4E33">
        <w:trPr>
          <w:trHeight w:val="386"/>
        </w:trPr>
        <w:tc>
          <w:tcPr>
            <w:tcW w:w="1573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</w:t>
            </w:r>
            <w:r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ogramme 4: Consumer Protection a</w:t>
            </w: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nd Business Regulation</w:t>
            </w: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FA4E33" w:rsidRDefault="00FA4E33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A4E33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4.1: Consumer Protection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districts reached through Consumer Education and Awareness Campaigns in the Northern Cape Province.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387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compliance inspections conducted.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109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67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82</w:t>
            </w:r>
          </w:p>
        </w:tc>
      </w:tr>
      <w:tr w:rsidR="00E06AF0" w:rsidRPr="00E06AF0" w:rsidTr="00316102">
        <w:trPr>
          <w:trHeight w:val="386"/>
        </w:trPr>
        <w:tc>
          <w:tcPr>
            <w:tcW w:w="1573" w:type="dxa"/>
            <w:vMerge w:val="restart"/>
            <w:shd w:val="clear" w:color="auto" w:fill="auto"/>
            <w:hideMark/>
          </w:tcPr>
          <w:p w:rsidR="00E06AF0" w:rsidRPr="00316102" w:rsidRDefault="00316102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1610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5: Economic Planning</w:t>
            </w: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316102" w:rsidRDefault="00316102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1610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</w:t>
            </w:r>
            <w:r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ogramme 5.1: Economic Research a</w:t>
            </w:r>
            <w:r w:rsidRPr="0031610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nd Policy Development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economic policies or strategies reviewed.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407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Socio-Economic engagements with stakeholders.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385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Economic intelligence initiatives compiled.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E06AF0" w:rsidRPr="00E06AF0" w:rsidTr="00316102">
        <w:trPr>
          <w:trHeight w:val="36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Economic overviews compiled.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611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E06AF0" w:rsidRDefault="00316102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31610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5.2: Knowledge Economy Support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Knowledge Management Systems implemented.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379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Internet connectivity initiatives supported.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499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Digital Infrastructure initiatives supported.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E06AF0" w:rsidRPr="00E06AF0" w:rsidTr="00316102">
        <w:trPr>
          <w:trHeight w:val="56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e-Skills development initiatives implemented and supported.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402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localisation initiatives implemented in terms of the SKA.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06AF0" w:rsidRPr="00E06AF0" w:rsidTr="00316102">
        <w:trPr>
          <w:trHeight w:val="662"/>
        </w:trPr>
        <w:tc>
          <w:tcPr>
            <w:tcW w:w="1573" w:type="dxa"/>
            <w:vMerge w:val="restart"/>
            <w:shd w:val="clear" w:color="auto" w:fill="auto"/>
            <w:hideMark/>
          </w:tcPr>
          <w:p w:rsidR="00E06AF0" w:rsidRPr="00316102" w:rsidRDefault="00316102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1610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6: Tourism</w:t>
            </w: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316102" w:rsidRDefault="00316102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31610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6.1: Tourism Development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stakeholder engagements for facilitating destination enhancement.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E06AF0" w:rsidRPr="00E06AF0" w:rsidTr="00316102">
        <w:trPr>
          <w:trHeight w:val="687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tourism enterprises supported for the purposes of business sustainability.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06AF0" w:rsidRPr="00E06AF0" w:rsidTr="00316102">
        <w:trPr>
          <w:trHeight w:val="427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initiatives to enhance the provincial visitor experience.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E06AF0" w:rsidRPr="00E06AF0" w:rsidTr="00316102">
        <w:trPr>
          <w:trHeight w:val="405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 w:val="restart"/>
            <w:shd w:val="clear" w:color="auto" w:fill="auto"/>
            <w:hideMark/>
          </w:tcPr>
          <w:p w:rsidR="00E06AF0" w:rsidRPr="00E06AF0" w:rsidRDefault="00316102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31610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6.2: Tourism Growth</w:t>
            </w: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Tourism Industry Stakeholder consultations.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E06AF0" w:rsidRPr="00E06AF0" w:rsidTr="00316102">
        <w:trPr>
          <w:trHeight w:val="85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Interventions to support the tourist guiding sub-sector.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06AF0" w:rsidRPr="00E06AF0" w:rsidTr="00316102">
        <w:trPr>
          <w:trHeight w:val="323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Tourism safety initiatives.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E06AF0" w:rsidRPr="00E06AF0" w:rsidTr="00316102">
        <w:trPr>
          <w:trHeight w:val="302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Community-Based tourism Programmes conducted.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E06AF0" w:rsidRPr="00E06AF0" w:rsidTr="00316102">
        <w:trPr>
          <w:trHeight w:val="408"/>
        </w:trPr>
        <w:tc>
          <w:tcPr>
            <w:tcW w:w="1573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tourism industry support initiatives.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E06AF0" w:rsidRPr="00E06AF0" w:rsidRDefault="00E06AF0" w:rsidP="0031610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</w:tbl>
    <w:p w:rsidR="00616B1D" w:rsidRPr="00EF4334" w:rsidRDefault="00616B1D" w:rsidP="00147FEF">
      <w:pPr>
        <w:rPr>
          <w:rFonts w:cstheme="minorHAnsi"/>
        </w:rPr>
      </w:pPr>
    </w:p>
    <w:p w:rsidR="00271418" w:rsidRPr="00EF4334" w:rsidRDefault="00271418" w:rsidP="00271418">
      <w:pPr>
        <w:ind w:firstLine="426"/>
        <w:rPr>
          <w:rFonts w:eastAsia="Times New Roman" w:cstheme="minorHAnsi"/>
          <w:b/>
          <w:color w:val="FF6E21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653C1C0A" wp14:editId="4E0C8F10">
            <wp:extent cx="2540203" cy="999591"/>
            <wp:effectExtent l="0" t="0" r="0" b="0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color w:val="006400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FY </w:t>
      </w:r>
      <w:r w:rsidR="00B27CCF">
        <w:rPr>
          <w:rFonts w:eastAsia="Times New Roman" w:cstheme="minorHAnsi"/>
          <w:b/>
          <w:color w:val="FF6E21"/>
          <w:sz w:val="24"/>
          <w:szCs w:val="24"/>
        </w:rPr>
        <w:t>2023-24</w:t>
      </w:r>
      <w:r w:rsidR="00147FEF"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Education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2693"/>
        <w:gridCol w:w="1276"/>
        <w:gridCol w:w="1701"/>
        <w:gridCol w:w="1134"/>
        <w:gridCol w:w="1701"/>
        <w:gridCol w:w="1134"/>
        <w:gridCol w:w="1701"/>
      </w:tblGrid>
      <w:tr w:rsidR="00E06AF0" w:rsidRPr="00E06AF0" w:rsidTr="005B66EF">
        <w:trPr>
          <w:trHeight w:val="290"/>
          <w:tblHeader/>
        </w:trPr>
        <w:tc>
          <w:tcPr>
            <w:tcW w:w="1555" w:type="dxa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2"/>
            <w:shd w:val="clear" w:color="90EE90" w:fill="90EE90"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E06AF0" w:rsidRPr="00E06AF0" w:rsidTr="005B66EF">
        <w:trPr>
          <w:trHeight w:val="290"/>
          <w:tblHeader/>
        </w:trPr>
        <w:tc>
          <w:tcPr>
            <w:tcW w:w="1555" w:type="dxa"/>
            <w:shd w:val="clear" w:color="FF6E21" w:fill="FF6E21"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984" w:type="dxa"/>
            <w:shd w:val="clear" w:color="FF6E21" w:fill="FF6E21"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693" w:type="dxa"/>
            <w:shd w:val="clear" w:color="FF6E21" w:fill="FF6E21"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276" w:type="dxa"/>
            <w:shd w:val="clear" w:color="FF6E21" w:fill="FF6E21"/>
            <w:vAlign w:val="center"/>
            <w:hideMark/>
          </w:tcPr>
          <w:p w:rsidR="00E06AF0" w:rsidRPr="00F97F12" w:rsidRDefault="00E06AF0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06AF0" w:rsidRPr="00F97F12" w:rsidRDefault="00E06AF0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E06AF0" w:rsidRPr="00F97F12" w:rsidRDefault="00E06AF0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06AF0" w:rsidRPr="00F97F12" w:rsidRDefault="00E06AF0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E06AF0" w:rsidRPr="00F97F12" w:rsidRDefault="00E06AF0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E06AF0" w:rsidRPr="00F97F12" w:rsidRDefault="00E06AF0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E06AF0" w:rsidRPr="00E06AF0" w:rsidTr="005B66EF">
        <w:trPr>
          <w:trHeight w:val="960"/>
        </w:trPr>
        <w:tc>
          <w:tcPr>
            <w:tcW w:w="1555" w:type="dxa"/>
            <w:vMerge w:val="restart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 Administration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 Administration</w:t>
            </w:r>
          </w:p>
        </w:tc>
        <w:tc>
          <w:tcPr>
            <w:tcW w:w="2693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public schools that use the South African School Administration and Management System (SA-SAMS) or any alternative electronic solution to provide data</w:t>
            </w:r>
          </w:p>
        </w:tc>
        <w:tc>
          <w:tcPr>
            <w:tcW w:w="1276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</w:tr>
      <w:tr w:rsidR="00E06AF0" w:rsidRPr="00E06AF0" w:rsidTr="005B66EF">
        <w:trPr>
          <w:trHeight w:val="720"/>
        </w:trPr>
        <w:tc>
          <w:tcPr>
            <w:tcW w:w="1555" w:type="dxa"/>
            <w:vMerge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public schools that can be contacted electronically (email)</w:t>
            </w:r>
          </w:p>
        </w:tc>
        <w:tc>
          <w:tcPr>
            <w:tcW w:w="1276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554</w:t>
            </w:r>
          </w:p>
        </w:tc>
      </w:tr>
      <w:tr w:rsidR="00E06AF0" w:rsidRPr="00E06AF0" w:rsidTr="005B66EF">
        <w:trPr>
          <w:trHeight w:val="293"/>
        </w:trPr>
        <w:tc>
          <w:tcPr>
            <w:tcW w:w="1555" w:type="dxa"/>
            <w:vMerge w:val="restart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2. Public Ordinary School Education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2. Public Ordinary School Education</w:t>
            </w:r>
          </w:p>
        </w:tc>
        <w:tc>
          <w:tcPr>
            <w:tcW w:w="2693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schools monitored on the implementation of EGRA tool.</w:t>
            </w:r>
          </w:p>
        </w:tc>
        <w:tc>
          <w:tcPr>
            <w:tcW w:w="1276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F97F12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06AF0" w:rsidRPr="00E06AF0" w:rsidTr="005B66EF">
        <w:trPr>
          <w:trHeight w:val="413"/>
        </w:trPr>
        <w:tc>
          <w:tcPr>
            <w:tcW w:w="1555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schools provided with free sanitary towels</w:t>
            </w:r>
          </w:p>
        </w:tc>
        <w:tc>
          <w:tcPr>
            <w:tcW w:w="1276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360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130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160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177</w:t>
            </w:r>
          </w:p>
        </w:tc>
      </w:tr>
      <w:tr w:rsidR="00E06AF0" w:rsidRPr="00E06AF0" w:rsidTr="005B66EF">
        <w:trPr>
          <w:trHeight w:val="533"/>
        </w:trPr>
        <w:tc>
          <w:tcPr>
            <w:tcW w:w="1555" w:type="dxa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 Public Special School Education</w:t>
            </w:r>
          </w:p>
        </w:tc>
        <w:tc>
          <w:tcPr>
            <w:tcW w:w="1984" w:type="dxa"/>
            <w:shd w:val="clear" w:color="auto" w:fill="auto"/>
            <w:hideMark/>
          </w:tcPr>
          <w:p w:rsidR="00E06AF0" w:rsidRPr="00F97F12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 Public Special School Education</w:t>
            </w:r>
          </w:p>
        </w:tc>
        <w:tc>
          <w:tcPr>
            <w:tcW w:w="2693" w:type="dxa"/>
            <w:shd w:val="clear" w:color="auto" w:fill="auto"/>
            <w:hideMark/>
          </w:tcPr>
          <w:p w:rsidR="00E06AF0" w:rsidRPr="00E06AF0" w:rsidRDefault="00E06AF0" w:rsidP="00E06AF0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therapists/specialist staff in public special schools</w:t>
            </w:r>
          </w:p>
        </w:tc>
        <w:tc>
          <w:tcPr>
            <w:tcW w:w="1276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E06AF0" w:rsidRPr="00E06AF0" w:rsidRDefault="00E06AF0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E06AF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</w:tr>
    </w:tbl>
    <w:p w:rsidR="00885EBC" w:rsidRDefault="00885EBC" w:rsidP="00AD08A4">
      <w:pPr>
        <w:rPr>
          <w:rFonts w:cstheme="minorHAnsi"/>
        </w:rPr>
      </w:pPr>
    </w:p>
    <w:p w:rsidR="002E71D2" w:rsidRDefault="002E71D2" w:rsidP="00AD08A4">
      <w:pPr>
        <w:rPr>
          <w:rFonts w:cstheme="minorHAnsi"/>
        </w:rPr>
      </w:pPr>
    </w:p>
    <w:p w:rsidR="00B27CCF" w:rsidRPr="00EF4334" w:rsidRDefault="00B27CCF" w:rsidP="00AD08A4">
      <w:pPr>
        <w:rPr>
          <w:rFonts w:cstheme="minorHAnsi"/>
        </w:rPr>
      </w:pPr>
    </w:p>
    <w:p w:rsidR="006B532C" w:rsidRPr="002E71D2" w:rsidRDefault="00271418" w:rsidP="002E71D2">
      <w:pPr>
        <w:ind w:firstLine="426"/>
        <w:rPr>
          <w:rFonts w:eastAsia="Times New Roman" w:cstheme="minorHAnsi"/>
          <w:b/>
          <w:color w:val="FF6E21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09614A56" wp14:editId="746D684E">
            <wp:extent cx="2540203" cy="999591"/>
            <wp:effectExtent l="0" t="0" r="0" b="0"/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color w:val="006400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FY </w:t>
      </w:r>
      <w:r w:rsidR="00015FC3">
        <w:rPr>
          <w:rFonts w:eastAsia="Times New Roman" w:cstheme="minorHAnsi"/>
          <w:b/>
          <w:color w:val="FF6E21"/>
          <w:sz w:val="24"/>
          <w:szCs w:val="24"/>
        </w:rPr>
        <w:t>2023-24</w:t>
      </w:r>
      <w:r w:rsidR="00147FEF"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Health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257"/>
        <w:gridCol w:w="2820"/>
        <w:gridCol w:w="1130"/>
        <w:gridCol w:w="1690"/>
        <w:gridCol w:w="1130"/>
        <w:gridCol w:w="1690"/>
        <w:gridCol w:w="1130"/>
        <w:gridCol w:w="1690"/>
      </w:tblGrid>
      <w:tr w:rsidR="00345C24" w:rsidRPr="00345C24" w:rsidTr="00F97F12">
        <w:trPr>
          <w:trHeight w:val="290"/>
          <w:tblHeader/>
        </w:trPr>
        <w:tc>
          <w:tcPr>
            <w:tcW w:w="1342" w:type="dxa"/>
            <w:shd w:val="clear" w:color="auto" w:fill="auto"/>
            <w:hideMark/>
          </w:tcPr>
          <w:p w:rsidR="00345C24" w:rsidRPr="00F97F12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7" w:type="dxa"/>
            <w:shd w:val="clear" w:color="auto" w:fill="auto"/>
            <w:hideMark/>
          </w:tcPr>
          <w:p w:rsidR="00345C24" w:rsidRPr="00F97F12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F97F12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0" w:type="dxa"/>
            <w:gridSpan w:val="2"/>
            <w:shd w:val="clear" w:color="90EE90" w:fill="90EE90"/>
            <w:vAlign w:val="center"/>
            <w:hideMark/>
          </w:tcPr>
          <w:p w:rsidR="00345C24" w:rsidRPr="00F97F12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20" w:type="dxa"/>
            <w:gridSpan w:val="2"/>
            <w:shd w:val="clear" w:color="F0E68C" w:fill="F0E68C"/>
            <w:vAlign w:val="center"/>
            <w:hideMark/>
          </w:tcPr>
          <w:p w:rsidR="00345C24" w:rsidRPr="00F97F12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20" w:type="dxa"/>
            <w:gridSpan w:val="2"/>
            <w:shd w:val="clear" w:color="B0C4DE" w:fill="B0C4DE"/>
            <w:vAlign w:val="center"/>
            <w:hideMark/>
          </w:tcPr>
          <w:p w:rsidR="00345C24" w:rsidRPr="00F97F12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345C24" w:rsidRPr="00345C24" w:rsidTr="00F97F12">
        <w:trPr>
          <w:trHeight w:val="290"/>
          <w:tblHeader/>
        </w:trPr>
        <w:tc>
          <w:tcPr>
            <w:tcW w:w="1342" w:type="dxa"/>
            <w:shd w:val="clear" w:color="FF6E21" w:fill="FF6E21"/>
            <w:vAlign w:val="center"/>
            <w:hideMark/>
          </w:tcPr>
          <w:p w:rsidR="00345C24" w:rsidRPr="00F97F12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2257" w:type="dxa"/>
            <w:shd w:val="clear" w:color="FF6E21" w:fill="FF6E21"/>
            <w:vAlign w:val="center"/>
            <w:hideMark/>
          </w:tcPr>
          <w:p w:rsidR="00345C24" w:rsidRPr="00F97F12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20" w:type="dxa"/>
            <w:shd w:val="clear" w:color="FF6E21" w:fill="FF6E21"/>
            <w:vAlign w:val="center"/>
            <w:hideMark/>
          </w:tcPr>
          <w:p w:rsidR="00345C24" w:rsidRPr="00F97F12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0" w:type="dxa"/>
            <w:shd w:val="clear" w:color="FF6E21" w:fill="FF6E21"/>
            <w:vAlign w:val="center"/>
            <w:hideMark/>
          </w:tcPr>
          <w:p w:rsidR="00345C24" w:rsidRPr="00F97F12" w:rsidRDefault="00345C24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690" w:type="dxa"/>
            <w:shd w:val="clear" w:color="FF6E21" w:fill="FF6E21"/>
            <w:vAlign w:val="center"/>
            <w:hideMark/>
          </w:tcPr>
          <w:p w:rsidR="00345C24" w:rsidRPr="00F97F12" w:rsidRDefault="00345C24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0" w:type="dxa"/>
            <w:shd w:val="clear" w:color="FF6E21" w:fill="FF6E21"/>
            <w:vAlign w:val="center"/>
            <w:hideMark/>
          </w:tcPr>
          <w:p w:rsidR="00345C24" w:rsidRPr="00F97F12" w:rsidRDefault="00345C24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690" w:type="dxa"/>
            <w:shd w:val="clear" w:color="FF6E21" w:fill="FF6E21"/>
            <w:vAlign w:val="center"/>
            <w:hideMark/>
          </w:tcPr>
          <w:p w:rsidR="00345C24" w:rsidRPr="00F97F12" w:rsidRDefault="00345C24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0" w:type="dxa"/>
            <w:shd w:val="clear" w:color="FF6E21" w:fill="FF6E21"/>
            <w:vAlign w:val="center"/>
            <w:hideMark/>
          </w:tcPr>
          <w:p w:rsidR="00345C24" w:rsidRPr="00F97F12" w:rsidRDefault="00345C24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690" w:type="dxa"/>
            <w:shd w:val="clear" w:color="FF6E21" w:fill="FF6E21"/>
            <w:vAlign w:val="center"/>
            <w:hideMark/>
          </w:tcPr>
          <w:p w:rsidR="00345C24" w:rsidRPr="00F97F12" w:rsidRDefault="00345C24" w:rsidP="00F97F12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F97F12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345C24" w:rsidRPr="00345C24" w:rsidTr="00F97F12">
        <w:trPr>
          <w:trHeight w:val="720"/>
        </w:trPr>
        <w:tc>
          <w:tcPr>
            <w:tcW w:w="1342" w:type="dxa"/>
            <w:shd w:val="clear" w:color="auto" w:fill="auto"/>
            <w:hideMark/>
          </w:tcPr>
          <w:p w:rsidR="00345C24" w:rsidRPr="00F97F12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2257" w:type="dxa"/>
            <w:shd w:val="clear" w:color="auto" w:fill="auto"/>
            <w:hideMark/>
          </w:tcPr>
          <w:p w:rsidR="00345C24" w:rsidRPr="00F97F12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1.1: Information Communication and Technology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PHC facilities with network access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F97F12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91</w:t>
            </w:r>
          </w:p>
        </w:tc>
      </w:tr>
      <w:tr w:rsidR="00345C24" w:rsidRPr="00345C24" w:rsidTr="00C85091">
        <w:trPr>
          <w:trHeight w:val="595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F97F12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District Health Services</w:t>
            </w: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F97F12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F97F12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District Health Services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Severity assessment code (SAC) 1 incident reported within 24 hours rate (PHC)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</w:t>
            </w:r>
          </w:p>
        </w:tc>
      </w:tr>
      <w:tr w:rsidR="00345C24" w:rsidRPr="00345C24" w:rsidTr="00F97F12">
        <w:trPr>
          <w:trHeight w:val="422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Patient safety incident (PSI) case closure rate (PHC)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104</w:t>
            </w:r>
          </w:p>
        </w:tc>
      </w:tr>
      <w:tr w:rsidR="00345C24" w:rsidRPr="00345C24" w:rsidTr="00F97F12">
        <w:trPr>
          <w:trHeight w:val="24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HIV test done - total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58956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60289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65759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56391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45351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62846</w:t>
            </w:r>
          </w:p>
        </w:tc>
      </w:tr>
      <w:tr w:rsidR="00345C24" w:rsidRPr="00345C24" w:rsidTr="00F97F12">
        <w:trPr>
          <w:trHeight w:val="27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Male condom distributed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3954367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2696400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4410640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2786500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3041821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3361000</w:t>
            </w:r>
          </w:p>
        </w:tc>
      </w:tr>
      <w:tr w:rsidR="00345C24" w:rsidRPr="00345C24" w:rsidTr="00F97F12">
        <w:trPr>
          <w:trHeight w:val="137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Medical male circumcision - total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6177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1041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5971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2122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4118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88</w:t>
            </w:r>
          </w:p>
        </w:tc>
      </w:tr>
      <w:tr w:rsidR="00345C24" w:rsidRPr="00345C24" w:rsidTr="00F97F12">
        <w:trPr>
          <w:trHeight w:val="32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Couple year protection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48.1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57</w:t>
            </w:r>
          </w:p>
        </w:tc>
      </w:tr>
      <w:tr w:rsidR="00345C24" w:rsidRPr="00345C24" w:rsidTr="00F97F12">
        <w:trPr>
          <w:trHeight w:val="41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Delivery in 10-19 years in facility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F97F12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16.7</w:t>
            </w:r>
          </w:p>
        </w:tc>
      </w:tr>
      <w:tr w:rsidR="00345C24" w:rsidRPr="00345C24" w:rsidTr="00CE3907">
        <w:trPr>
          <w:trHeight w:val="528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Antenatal 1st visit before 20 weeks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55.1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54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58.9</w:t>
            </w:r>
          </w:p>
        </w:tc>
      </w:tr>
      <w:tr w:rsidR="00345C24" w:rsidRPr="00345C24" w:rsidTr="00843BB0">
        <w:trPr>
          <w:trHeight w:val="357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Live birth under 2500g in facility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16.1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17.9</w:t>
            </w:r>
          </w:p>
        </w:tc>
      </w:tr>
      <w:tr w:rsidR="00345C24" w:rsidRPr="00345C24" w:rsidTr="00CE3907">
        <w:trPr>
          <w:trHeight w:val="244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Mother postnatal visit within 6 days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  <w:r w:rsidR="00925150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m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66.8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66.8</w:t>
            </w:r>
          </w:p>
        </w:tc>
      </w:tr>
      <w:tr w:rsidR="00345C24" w:rsidRPr="00345C24" w:rsidTr="00CE3907">
        <w:trPr>
          <w:trHeight w:val="244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Neonatal death in facility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15.8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</w:tr>
      <w:tr w:rsidR="00345C24" w:rsidRPr="00345C24" w:rsidTr="00CE3907">
        <w:trPr>
          <w:trHeight w:val="38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Infant PCR test positive around 6 months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1.2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0.83</w:t>
            </w:r>
          </w:p>
        </w:tc>
      </w:tr>
      <w:tr w:rsidR="00345C24" w:rsidRPr="00345C24" w:rsidTr="00CE3907">
        <w:trPr>
          <w:trHeight w:val="244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HIV test positive around 18 months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0.26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0.83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CE390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0.82</w:t>
            </w:r>
          </w:p>
        </w:tc>
      </w:tr>
      <w:tr w:rsidR="00345C24" w:rsidRPr="00345C24" w:rsidTr="00925150">
        <w:trPr>
          <w:trHeight w:val="38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Immunisation under 1 year coverage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75.9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74.1</w:t>
            </w:r>
          </w:p>
        </w:tc>
      </w:tr>
      <w:tr w:rsidR="00345C24" w:rsidRPr="00345C24" w:rsidTr="00925150">
        <w:trPr>
          <w:trHeight w:val="22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Measles 2nd dose 1 year coverage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70.7</w:t>
            </w:r>
          </w:p>
        </w:tc>
      </w:tr>
      <w:tr w:rsidR="00345C24" w:rsidRPr="00345C24" w:rsidTr="00925150">
        <w:trPr>
          <w:trHeight w:val="41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diarrhoea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2.9</w:t>
            </w:r>
          </w:p>
        </w:tc>
      </w:tr>
      <w:tr w:rsidR="00345C24" w:rsidRPr="00345C24" w:rsidTr="00925150">
        <w:trPr>
          <w:trHeight w:val="387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pneumonia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2.7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13.7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2.7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2.7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0.75</w:t>
            </w:r>
          </w:p>
        </w:tc>
      </w:tr>
      <w:tr w:rsidR="00345C24" w:rsidRPr="00345C24" w:rsidTr="00925150">
        <w:trPr>
          <w:trHeight w:val="55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severe acute malnutrition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10.7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5.2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3.7</w:t>
            </w:r>
          </w:p>
        </w:tc>
      </w:tr>
      <w:tr w:rsidR="00345C24" w:rsidRPr="00345C24" w:rsidTr="00925150">
        <w:trPr>
          <w:trHeight w:val="37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Death under 5 years against live birth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4.3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1.9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4.3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1.5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4.3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2.1</w:t>
            </w:r>
          </w:p>
        </w:tc>
      </w:tr>
      <w:tr w:rsidR="00345C24" w:rsidRPr="00345C24" w:rsidTr="00925150">
        <w:trPr>
          <w:trHeight w:val="5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HIV positive 15-24 years (excl. ANC)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2.3</w:t>
            </w:r>
          </w:p>
        </w:tc>
      </w:tr>
      <w:tr w:rsidR="00345C24" w:rsidRPr="00345C24" w:rsidTr="00925150">
        <w:trPr>
          <w:trHeight w:val="102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ART adult remain in care rate (12 months)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50.1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54.3</w:t>
            </w:r>
          </w:p>
        </w:tc>
      </w:tr>
      <w:tr w:rsidR="00345C24" w:rsidRPr="00345C24" w:rsidTr="00925150">
        <w:trPr>
          <w:trHeight w:val="38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ART child remain in care rate (12 months)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61.4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69.2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</w:tr>
      <w:tr w:rsidR="00345C24" w:rsidRPr="00345C24" w:rsidTr="00925150">
        <w:trPr>
          <w:trHeight w:val="55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ART adult viral load suppressed rate - below 50 (12 months)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86.6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85.1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83.8</w:t>
            </w:r>
          </w:p>
        </w:tc>
      </w:tr>
      <w:tr w:rsidR="00345C24" w:rsidRPr="00345C24" w:rsidTr="00925150">
        <w:trPr>
          <w:trHeight w:val="56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ART child viral load suppressed rate - below 50 (12 months)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38.5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925150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925150">
        <w:trPr>
          <w:trHeight w:val="25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All DS-TB client LTF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24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</w:t>
            </w:r>
          </w:p>
        </w:tc>
      </w:tr>
      <w:tr w:rsidR="00345C24" w:rsidRPr="00345C24" w:rsidTr="00C85091">
        <w:trPr>
          <w:trHeight w:val="41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All DS-TB Client Treatment Success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74</w:t>
            </w:r>
          </w:p>
        </w:tc>
      </w:tr>
      <w:tr w:rsidR="00345C24" w:rsidRPr="00345C24" w:rsidTr="00925150">
        <w:trPr>
          <w:trHeight w:val="38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TB Rifampicin resistant/Multidrug - Resistant treatment success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</w:t>
            </w:r>
          </w:p>
        </w:tc>
      </w:tr>
      <w:tr w:rsidR="00345C24" w:rsidRPr="00345C24" w:rsidTr="00925150">
        <w:trPr>
          <w:trHeight w:val="50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TB Rifampicin resistant/Multidrug - Resistant lost to follow-up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13.4</w:t>
            </w:r>
          </w:p>
        </w:tc>
      </w:tr>
      <w:tr w:rsidR="00345C24" w:rsidRPr="00345C24" w:rsidTr="00925150">
        <w:trPr>
          <w:trHeight w:val="27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TB Pre-XDR treatment success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</w:tr>
      <w:tr w:rsidR="00345C24" w:rsidRPr="00345C24" w:rsidTr="00C85091">
        <w:trPr>
          <w:trHeight w:val="14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TB Pre-XDR loss to follow up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</w:tr>
      <w:tr w:rsidR="00345C24" w:rsidRPr="00345C24" w:rsidTr="00925150">
        <w:trPr>
          <w:trHeight w:val="42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Severity assessment code (SAC) 1 incident reported within 24 hours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92515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88</w:t>
            </w:r>
          </w:p>
        </w:tc>
      </w:tr>
      <w:tr w:rsidR="00345C24" w:rsidRPr="00345C24" w:rsidTr="00925150">
        <w:trPr>
          <w:trHeight w:val="46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Patient Safety Incident (PSI) case closure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112</w:t>
            </w:r>
          </w:p>
        </w:tc>
      </w:tr>
      <w:tr w:rsidR="00345C24" w:rsidRPr="00345C24" w:rsidTr="00C85091">
        <w:trPr>
          <w:trHeight w:val="33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2.5: Disease Prevention and Control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Positivity rate for hypertension 18-44 years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0.8</w:t>
            </w:r>
          </w:p>
        </w:tc>
      </w:tr>
      <w:tr w:rsidR="00345C24" w:rsidRPr="00345C24" w:rsidTr="00925150">
        <w:trPr>
          <w:trHeight w:val="41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Positivity rate for diabetes 18-44 years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1.5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0.3</w:t>
            </w:r>
          </w:p>
        </w:tc>
      </w:tr>
      <w:tr w:rsidR="00345C24" w:rsidRPr="00345C24" w:rsidTr="00C85091">
        <w:trPr>
          <w:trHeight w:val="29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2.6: Health Promotion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ACSM activities conducted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754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1013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701</w:t>
            </w:r>
          </w:p>
        </w:tc>
      </w:tr>
      <w:tr w:rsidR="00345C24" w:rsidRPr="00345C24" w:rsidTr="00925150">
        <w:trPr>
          <w:trHeight w:val="39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people reached through ACSM activities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625000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494679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625000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892554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625000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693633</w:t>
            </w:r>
          </w:p>
        </w:tc>
      </w:tr>
      <w:tr w:rsidR="00345C24" w:rsidRPr="00345C24" w:rsidTr="00C85091">
        <w:trPr>
          <w:trHeight w:val="378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Emergency Medical Services</w:t>
            </w: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Emergency Medical Services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EMS P1 urban response under 30 minutes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</w:t>
            </w:r>
          </w:p>
        </w:tc>
      </w:tr>
      <w:tr w:rsidR="00345C24" w:rsidRPr="00345C24" w:rsidTr="00C85091">
        <w:trPr>
          <w:trHeight w:val="313"/>
        </w:trPr>
        <w:tc>
          <w:tcPr>
            <w:tcW w:w="1342" w:type="dxa"/>
            <w:vMerge/>
            <w:vAlign w:val="center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EMS P1 rural response under 60 minutes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74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</w:tr>
      <w:tr w:rsidR="00345C24" w:rsidRPr="00345C24" w:rsidTr="00925150">
        <w:trPr>
          <w:trHeight w:val="435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Provincial Hospital Services</w:t>
            </w: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Provincial Hospital Services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diarrhoea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925150">
        <w:trPr>
          <w:trHeight w:val="227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pneumonia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1.6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925150">
        <w:trPr>
          <w:trHeight w:val="38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severe acute malnutrition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4.3</w:t>
            </w:r>
          </w:p>
        </w:tc>
      </w:tr>
      <w:tr w:rsidR="00345C24" w:rsidRPr="00345C24" w:rsidTr="00925150">
        <w:trPr>
          <w:trHeight w:val="25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Death in facility under 5 years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</w:t>
            </w:r>
          </w:p>
        </w:tc>
      </w:tr>
      <w:tr w:rsidR="00345C24" w:rsidRPr="00345C24" w:rsidTr="00C85091">
        <w:trPr>
          <w:trHeight w:val="52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Severity assessment code (SAC) 1 incident reported within 24 hours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33.3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C85091">
        <w:trPr>
          <w:trHeight w:val="28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Patient Safety Incident (PSI) case closure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84.6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63.6</w:t>
            </w:r>
          </w:p>
        </w:tc>
      </w:tr>
      <w:tr w:rsidR="00345C24" w:rsidRPr="00345C24" w:rsidTr="00925150">
        <w:trPr>
          <w:trHeight w:val="63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4.2: Specialized Hospital (West-End Hospital)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Severity assessment code (SAC)1 incident reported within 24 hours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345C24" w:rsidRPr="00345C24" w:rsidTr="00C85091">
        <w:trPr>
          <w:trHeight w:val="29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Patient safety incident (PSI) case closure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345C24" w:rsidRPr="00345C24" w:rsidTr="00C85091">
        <w:trPr>
          <w:trHeight w:val="244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85091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5: Central Hospital Services</w:t>
            </w: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92515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2515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5: Central Hospital Services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diarrhoea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3.8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3.8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3.8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</w:t>
            </w:r>
          </w:p>
        </w:tc>
      </w:tr>
      <w:tr w:rsidR="00345C24" w:rsidRPr="00345C24" w:rsidTr="00F97F12">
        <w:trPr>
          <w:trHeight w:val="120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pneumonia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9.8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8.3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16.7</w:t>
            </w:r>
          </w:p>
        </w:tc>
      </w:tr>
      <w:tr w:rsidR="00345C24" w:rsidRPr="00345C24" w:rsidTr="00843BB0">
        <w:trPr>
          <w:trHeight w:val="5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Child under 5 years severe acute malnutrition case fatality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8.5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11.5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8.5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6.3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8.5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6.3</w:t>
            </w:r>
          </w:p>
        </w:tc>
      </w:tr>
      <w:tr w:rsidR="00345C24" w:rsidRPr="00345C24" w:rsidTr="00925150">
        <w:trPr>
          <w:trHeight w:val="5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Death in facility under 5 years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34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</w:tr>
      <w:tr w:rsidR="00345C24" w:rsidRPr="00345C24" w:rsidTr="00C85091">
        <w:trPr>
          <w:trHeight w:val="61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Severity assessment code (SAC) 1 incident reported within 24 hours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345C24" w:rsidRPr="00345C24" w:rsidTr="00925150">
        <w:trPr>
          <w:trHeight w:val="38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Patient Safety Incident (PSI) case closure rate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345C24" w:rsidRPr="00345C24" w:rsidTr="00925150">
        <w:trPr>
          <w:trHeight w:val="347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85091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7: Health Care Support Services</w:t>
            </w:r>
          </w:p>
        </w:tc>
        <w:tc>
          <w:tcPr>
            <w:tcW w:w="2257" w:type="dxa"/>
            <w:vMerge w:val="restart"/>
            <w:shd w:val="clear" w:color="auto" w:fill="auto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85091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7.1: Forensic Medical Services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autopsies completed within 4 working days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91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94</w:t>
            </w:r>
          </w:p>
        </w:tc>
      </w:tr>
      <w:tr w:rsidR="00345C24" w:rsidRPr="00345C24" w:rsidTr="00100B2F">
        <w:trPr>
          <w:trHeight w:val="605"/>
        </w:trPr>
        <w:tc>
          <w:tcPr>
            <w:tcW w:w="1342" w:type="dxa"/>
            <w:vMerge/>
            <w:vAlign w:val="center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autopsy reports submitted in 10 days to stakeholders (SAPS)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78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76</w:t>
            </w:r>
          </w:p>
        </w:tc>
      </w:tr>
      <w:tr w:rsidR="00345C24" w:rsidRPr="00345C24" w:rsidTr="00C85091">
        <w:trPr>
          <w:trHeight w:val="353"/>
        </w:trPr>
        <w:tc>
          <w:tcPr>
            <w:tcW w:w="1342" w:type="dxa"/>
            <w:vMerge/>
            <w:vAlign w:val="center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85091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7.2: Pharmaceuticals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availability of medicine in all health establishments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85.3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88.7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85.3</w:t>
            </w:r>
          </w:p>
        </w:tc>
      </w:tr>
      <w:tr w:rsidR="00345C24" w:rsidRPr="00345C24" w:rsidTr="00C85091">
        <w:trPr>
          <w:trHeight w:val="399"/>
        </w:trPr>
        <w:tc>
          <w:tcPr>
            <w:tcW w:w="1342" w:type="dxa"/>
            <w:vMerge/>
            <w:vAlign w:val="center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257" w:type="dxa"/>
            <w:shd w:val="clear" w:color="auto" w:fill="auto"/>
            <w:hideMark/>
          </w:tcPr>
          <w:p w:rsidR="00345C24" w:rsidRPr="00C85091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C85091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7.3: Orthotic and Prosthetic</w:t>
            </w:r>
          </w:p>
        </w:tc>
        <w:tc>
          <w:tcPr>
            <w:tcW w:w="2820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patients  issued with assistive devices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69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77</w:t>
            </w:r>
          </w:p>
        </w:tc>
        <w:tc>
          <w:tcPr>
            <w:tcW w:w="113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690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81.5</w:t>
            </w:r>
          </w:p>
        </w:tc>
      </w:tr>
    </w:tbl>
    <w:p w:rsidR="004A2AC8" w:rsidRDefault="004A2AC8" w:rsidP="00BC6B43">
      <w:pPr>
        <w:rPr>
          <w:rFonts w:cstheme="minorHAnsi"/>
        </w:rPr>
      </w:pPr>
    </w:p>
    <w:p w:rsidR="004A2AC8" w:rsidRDefault="004A2AC8" w:rsidP="00BC6B43">
      <w:pPr>
        <w:rPr>
          <w:rFonts w:cstheme="minorHAnsi"/>
        </w:rPr>
      </w:pPr>
    </w:p>
    <w:p w:rsidR="004A2AC8" w:rsidRDefault="004A2AC8" w:rsidP="00BC6B43">
      <w:pPr>
        <w:rPr>
          <w:rFonts w:cstheme="minorHAnsi"/>
        </w:rPr>
      </w:pPr>
    </w:p>
    <w:p w:rsidR="00604E8C" w:rsidRDefault="00604E8C" w:rsidP="00BC6B43">
      <w:pPr>
        <w:rPr>
          <w:rFonts w:cstheme="minorHAnsi"/>
        </w:rPr>
      </w:pPr>
    </w:p>
    <w:p w:rsidR="00604E8C" w:rsidRDefault="00604E8C" w:rsidP="00BC6B43">
      <w:pPr>
        <w:rPr>
          <w:rFonts w:cstheme="minorHAnsi"/>
        </w:rPr>
      </w:pPr>
    </w:p>
    <w:p w:rsidR="00604E8C" w:rsidRDefault="00604E8C" w:rsidP="00BC6B43">
      <w:pPr>
        <w:rPr>
          <w:rFonts w:cstheme="minorHAnsi"/>
        </w:rPr>
      </w:pPr>
    </w:p>
    <w:p w:rsidR="00604E8C" w:rsidRDefault="00604E8C" w:rsidP="00BC6B43">
      <w:pPr>
        <w:rPr>
          <w:rFonts w:cstheme="minorHAnsi"/>
        </w:rPr>
      </w:pPr>
    </w:p>
    <w:p w:rsidR="004A2AC8" w:rsidRPr="00EF4334" w:rsidRDefault="004A2AC8" w:rsidP="00BC6B43">
      <w:pPr>
        <w:rPr>
          <w:rFonts w:cstheme="minorHAnsi"/>
        </w:rPr>
      </w:pPr>
    </w:p>
    <w:p w:rsidR="006B532C" w:rsidRPr="00EF4334" w:rsidRDefault="006B532C" w:rsidP="00055895">
      <w:pPr>
        <w:ind w:firstLine="426"/>
        <w:rPr>
          <w:rFonts w:eastAsia="Times New Roman" w:cstheme="minorHAnsi"/>
          <w:color w:val="006400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3D81D493" wp14:editId="38C4F08F">
            <wp:extent cx="2540203" cy="999591"/>
            <wp:effectExtent l="0" t="0" r="0" b="0"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A228AD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Public Works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2139"/>
        <w:gridCol w:w="2835"/>
        <w:gridCol w:w="1134"/>
        <w:gridCol w:w="1701"/>
        <w:gridCol w:w="1134"/>
        <w:gridCol w:w="1701"/>
        <w:gridCol w:w="1134"/>
        <w:gridCol w:w="1701"/>
      </w:tblGrid>
      <w:tr w:rsidR="00345C24" w:rsidRPr="00345C24" w:rsidTr="00100B2F">
        <w:trPr>
          <w:trHeight w:val="290"/>
          <w:tblHeader/>
        </w:trPr>
        <w:tc>
          <w:tcPr>
            <w:tcW w:w="1400" w:type="dxa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9" w:type="dxa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345C24" w:rsidRPr="00345C24" w:rsidTr="00100B2F">
        <w:trPr>
          <w:trHeight w:val="290"/>
          <w:tblHeader/>
        </w:trPr>
        <w:tc>
          <w:tcPr>
            <w:tcW w:w="1400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2139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345C24" w:rsidRPr="00345C24" w:rsidTr="00100B2F">
        <w:trPr>
          <w:trHeight w:val="200"/>
        </w:trPr>
        <w:tc>
          <w:tcPr>
            <w:tcW w:w="1400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 Programme 1.4: Financial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payments processed within 30 days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345C24" w:rsidRPr="00345C24" w:rsidTr="00100B2F">
        <w:trPr>
          <w:trHeight w:val="744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spent on women owned enterprises through procurement of goods &amp;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13.20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26.43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69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spent on youth owned enterprises through procurement of goods &amp;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6.40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6.50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850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spent on women owned enterprises through procurement of goods &amp;services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28.73</w:t>
            </w:r>
          </w:p>
        </w:tc>
      </w:tr>
      <w:tr w:rsidR="00345C24" w:rsidRPr="00345C24" w:rsidTr="00100B2F">
        <w:trPr>
          <w:trHeight w:val="66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spent on youth owned enterprises through   procurement of goods &amp; services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8.65</w:t>
            </w:r>
          </w:p>
        </w:tc>
      </w:tr>
      <w:tr w:rsidR="00345C24" w:rsidRPr="00345C24" w:rsidTr="00100B2F">
        <w:trPr>
          <w:trHeight w:val="405"/>
        </w:trPr>
        <w:tc>
          <w:tcPr>
            <w:tcW w:w="1400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Public Works Infrastructure</w:t>
            </w: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2.3: Design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infrastructure designs ready for tender annually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</w:tr>
      <w:tr w:rsidR="00345C24" w:rsidRPr="00345C24" w:rsidTr="00100B2F">
        <w:trPr>
          <w:trHeight w:val="100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projects costed annually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</w:tr>
      <w:tr w:rsidR="00345C24" w:rsidRPr="00345C24" w:rsidTr="00100B2F">
        <w:trPr>
          <w:trHeight w:val="527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2.4: Construction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capital infrastructure projects completed within the agreed time period.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48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capital infrastructure projects completed within agreed budget.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49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capital infrastructure projects in construction 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55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capital infrastructure projects completed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69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contractors participating in the Contractor Development Programme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70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capital infrastructure projects completed within the agreed time period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100B2F">
        <w:trPr>
          <w:trHeight w:val="710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capital infrastructure projects completed within agreed budget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100B2F">
        <w:trPr>
          <w:trHeight w:val="40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capital infrastructure projects in construction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100B2F">
        <w:trPr>
          <w:trHeight w:val="387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capital infrastructure projects completed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100B2F">
        <w:trPr>
          <w:trHeight w:val="960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contractors participating in the Contractor Development Programme 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100B2F">
        <w:trPr>
          <w:trHeight w:val="52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2.5: Maintenance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maintenance projects surveyed, planned and costed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39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planned maintenance projects awarded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</w:tr>
      <w:tr w:rsidR="00345C24" w:rsidRPr="00345C24" w:rsidTr="00100B2F">
        <w:trPr>
          <w:trHeight w:val="528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planned maintenance projects completed within the agreed contract period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</w:tr>
      <w:tr w:rsidR="00345C24" w:rsidRPr="00345C24" w:rsidTr="00100B2F">
        <w:trPr>
          <w:trHeight w:val="564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planned maintenance projects completed within agreed budget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</w:tr>
      <w:tr w:rsidR="00345C24" w:rsidRPr="00345C24" w:rsidTr="00100B2F">
        <w:trPr>
          <w:trHeight w:val="46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planned maintenance projects in construction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345C24" w:rsidRPr="00345C24" w:rsidTr="00100B2F">
        <w:trPr>
          <w:trHeight w:val="41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maintenance projects completed.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53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work opportunities created by Provincial Public Works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46</w:t>
            </w:r>
          </w:p>
        </w:tc>
      </w:tr>
      <w:tr w:rsidR="00345C24" w:rsidRPr="00345C24" w:rsidTr="00100B2F">
        <w:trPr>
          <w:trHeight w:val="66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maintenance projects surveyed, planned and costed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345C24" w:rsidRPr="00345C24" w:rsidTr="00100B2F">
        <w:trPr>
          <w:trHeight w:val="410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maintenance projects completed.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</w:t>
            </w:r>
          </w:p>
        </w:tc>
      </w:tr>
      <w:tr w:rsidR="00345C24" w:rsidRPr="00345C24" w:rsidTr="00100B2F">
        <w:trPr>
          <w:trHeight w:val="24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2.6: Immovable Asset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properties disposed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100B2F">
        <w:trPr>
          <w:trHeight w:val="566"/>
        </w:trPr>
        <w:tc>
          <w:tcPr>
            <w:tcW w:w="1400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Expanded Public Works Programme</w:t>
            </w: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3.2: Community Development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work opportunities created through EPWP projects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1069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366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1069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294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1069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244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youths employed (18 – 35)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25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women employed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386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persons with disabilities employed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66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work opportunities created through EPWP projects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1069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1069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818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233</w:t>
            </w:r>
          </w:p>
        </w:tc>
      </w:tr>
      <w:tr w:rsidR="00345C24" w:rsidRPr="00345C24" w:rsidTr="00100B2F">
        <w:trPr>
          <w:trHeight w:val="528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youths employed (18 – 35)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641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491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142</w:t>
            </w:r>
          </w:p>
        </w:tc>
      </w:tr>
      <w:tr w:rsidR="00345C24" w:rsidRPr="00345C24" w:rsidTr="00100B2F">
        <w:trPr>
          <w:trHeight w:val="45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women employed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438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124</w:t>
            </w:r>
          </w:p>
        </w:tc>
      </w:tr>
      <w:tr w:rsidR="00345C24" w:rsidRPr="00345C24" w:rsidTr="00100B2F">
        <w:trPr>
          <w:trHeight w:val="54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persons with disabilities employed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100B2F">
        <w:trPr>
          <w:trHeight w:val="42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3.3: Innovation and Empowerment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beneficiaries on skills development initiatives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407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EPWP Exit strategy developed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100B2F">
        <w:trPr>
          <w:trHeight w:val="65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beneficiaries under the Enterprise Development Programme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29</w:t>
            </w:r>
          </w:p>
        </w:tc>
      </w:tr>
      <w:tr w:rsidR="00345C24" w:rsidRPr="00345C24" w:rsidTr="00100B2F">
        <w:trPr>
          <w:trHeight w:val="40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beneficiaries on skills development initiatives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</w:t>
            </w:r>
          </w:p>
        </w:tc>
      </w:tr>
      <w:tr w:rsidR="00345C24" w:rsidRPr="00345C24" w:rsidTr="00100B2F">
        <w:trPr>
          <w:trHeight w:val="67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3.4: Co-ordination and Compliance Monitoring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public bodies reporting on EPWP targets within the province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</w:tr>
      <w:tr w:rsidR="00345C24" w:rsidRPr="00345C24" w:rsidTr="00100B2F">
        <w:trPr>
          <w:trHeight w:val="70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interventions implemented to support public bodies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</w:tr>
      <w:tr w:rsidR="00345C24" w:rsidRPr="00345C24" w:rsidTr="00100B2F">
        <w:trPr>
          <w:trHeight w:val="407"/>
        </w:trPr>
        <w:tc>
          <w:tcPr>
            <w:tcW w:w="1400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Transport Infrastructure</w:t>
            </w: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4.3: Infrastructure Design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road construction specification documents completed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669"/>
        </w:trPr>
        <w:tc>
          <w:tcPr>
            <w:tcW w:w="1400" w:type="dxa"/>
            <w:vMerge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road construction specification documents completed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</w:tr>
      <w:tr w:rsidR="00345C24" w:rsidRPr="00345C24" w:rsidTr="00100B2F">
        <w:trPr>
          <w:trHeight w:val="423"/>
        </w:trPr>
        <w:tc>
          <w:tcPr>
            <w:tcW w:w="1400" w:type="dxa"/>
            <w:vMerge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4.4: Construction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kilometres of gravel roads upgraded to surface roads 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2.31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68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kilometres of gravel roads upgraded to surfaced roads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2.31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3.637</w:t>
            </w:r>
          </w:p>
        </w:tc>
      </w:tr>
      <w:tr w:rsidR="00345C24" w:rsidRPr="00345C24" w:rsidTr="00100B2F">
        <w:trPr>
          <w:trHeight w:val="39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4.5: Maintenance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square metres of surfaced roads rehabilitated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184000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37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square metres of surfaced roads resealed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24000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49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kilometres of gravel roads re-graveled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27.8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156.36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102</w:t>
            </w:r>
          </w:p>
        </w:tc>
      </w:tr>
      <w:tr w:rsidR="00345C24" w:rsidRPr="00345C24" w:rsidTr="00100B2F">
        <w:trPr>
          <w:trHeight w:val="415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square metres of blacktop patching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4625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7548.03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8595.12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7629.35</w:t>
            </w:r>
          </w:p>
        </w:tc>
      </w:tr>
      <w:tr w:rsidR="00345C24" w:rsidRPr="00345C24" w:rsidTr="00100B2F">
        <w:trPr>
          <w:trHeight w:val="386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kilometres of gravel roads bladed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17595.94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18500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19643.33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17500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17500</w:t>
            </w:r>
          </w:p>
        </w:tc>
      </w:tr>
      <w:tr w:rsidR="00345C24" w:rsidRPr="00345C24" w:rsidTr="00100B2F">
        <w:trPr>
          <w:trHeight w:val="960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contractors participating in the National Contractor Development Programme (NCDP)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53</w:t>
            </w:r>
          </w:p>
        </w:tc>
      </w:tr>
      <w:tr w:rsidR="00345C24" w:rsidRPr="00345C24" w:rsidTr="00100B2F">
        <w:trPr>
          <w:trHeight w:val="244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work opportunities created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2237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740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3454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2253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497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youths employed (18 – 35) 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435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390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1239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264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women employed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1342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411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2072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379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1352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42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persons with disabilities employed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54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square metres of surfaced roads rehabilitated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345C24" w:rsidRPr="00345C24" w:rsidTr="00100B2F">
        <w:trPr>
          <w:trHeight w:val="43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square meters of surfaced roads resealed 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10000</w:t>
            </w:r>
          </w:p>
        </w:tc>
      </w:tr>
      <w:tr w:rsidR="00345C24" w:rsidRPr="00345C24" w:rsidTr="00100B2F">
        <w:trPr>
          <w:trHeight w:val="70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work opportunities created by Provincial department of Roads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2273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3454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924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988</w:t>
            </w:r>
          </w:p>
        </w:tc>
      </w:tr>
      <w:tr w:rsidR="00345C24" w:rsidRPr="00345C24" w:rsidTr="00100B2F">
        <w:trPr>
          <w:trHeight w:val="413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youths employed (18 – 35)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632</w:t>
            </w:r>
          </w:p>
        </w:tc>
      </w:tr>
      <w:tr w:rsidR="00345C24" w:rsidRPr="00345C24" w:rsidTr="00100B2F">
        <w:trPr>
          <w:trHeight w:val="391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women employed 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1342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2072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444</w:t>
            </w:r>
          </w:p>
        </w:tc>
      </w:tr>
      <w:tr w:rsidR="00345C24" w:rsidRPr="00345C24" w:rsidTr="00100B2F">
        <w:trPr>
          <w:trHeight w:val="369"/>
        </w:trPr>
        <w:tc>
          <w:tcPr>
            <w:tcW w:w="1400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39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persons with disabilities employed (Revised)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69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100B2F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</w:tbl>
    <w:p w:rsidR="004A2AC8" w:rsidRDefault="004A2AC8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345C24" w:rsidRDefault="00345C24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345C24" w:rsidRDefault="00345C24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345C24" w:rsidRDefault="00345C24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345C24" w:rsidRDefault="00345C24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345C24" w:rsidRDefault="00345C24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345C24" w:rsidRDefault="00345C24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345C24" w:rsidRPr="00EF4334" w:rsidRDefault="00345C24" w:rsidP="00BC6B43">
      <w:pPr>
        <w:rPr>
          <w:rFonts w:eastAsia="Times New Roman" w:cstheme="minorHAnsi"/>
          <w:color w:val="FF6E21"/>
          <w:sz w:val="24"/>
          <w:szCs w:val="24"/>
        </w:rPr>
      </w:pPr>
    </w:p>
    <w:p w:rsidR="006B532C" w:rsidRPr="00EF4334" w:rsidRDefault="006B532C" w:rsidP="00055895">
      <w:pPr>
        <w:ind w:firstLine="426"/>
        <w:rPr>
          <w:rFonts w:cstheme="minorHAnsi"/>
          <w:b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2A188B62" wp14:editId="0AA80047">
            <wp:extent cx="2540203" cy="999591"/>
            <wp:effectExtent l="0" t="0" r="0" b="0"/>
            <wp:docPr id="1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BB6D7E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="008534C1" w:rsidRPr="00EF4334">
        <w:rPr>
          <w:rFonts w:eastAsia="Times New Roman" w:cstheme="minorHAnsi"/>
          <w:b/>
          <w:color w:val="FF6E21"/>
          <w:sz w:val="24"/>
          <w:szCs w:val="24"/>
        </w:rPr>
        <w:t>Sport, Arts and Culture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197"/>
        <w:gridCol w:w="2835"/>
        <w:gridCol w:w="992"/>
        <w:gridCol w:w="1843"/>
        <w:gridCol w:w="1134"/>
        <w:gridCol w:w="1701"/>
        <w:gridCol w:w="1134"/>
        <w:gridCol w:w="1701"/>
      </w:tblGrid>
      <w:tr w:rsidR="00345C24" w:rsidRPr="00345C24" w:rsidTr="00100B2F">
        <w:trPr>
          <w:trHeight w:val="290"/>
          <w:tblHeader/>
        </w:trPr>
        <w:tc>
          <w:tcPr>
            <w:tcW w:w="1342" w:type="dxa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7" w:type="dxa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345C24" w:rsidRPr="00345C24" w:rsidTr="00100B2F">
        <w:trPr>
          <w:trHeight w:val="700"/>
          <w:tblHeader/>
        </w:trPr>
        <w:tc>
          <w:tcPr>
            <w:tcW w:w="1342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2197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345C24" w:rsidRPr="00100B2F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992" w:type="dxa"/>
            <w:shd w:val="clear" w:color="FF6E21" w:fill="FF6E21"/>
            <w:vAlign w:val="center"/>
            <w:hideMark/>
          </w:tcPr>
          <w:p w:rsidR="00345C24" w:rsidRPr="00100B2F" w:rsidRDefault="00345C24" w:rsidP="00843BB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843" w:type="dxa"/>
            <w:shd w:val="clear" w:color="FF6E21" w:fill="FF6E21"/>
            <w:vAlign w:val="center"/>
            <w:hideMark/>
          </w:tcPr>
          <w:p w:rsidR="00345C24" w:rsidRPr="00100B2F" w:rsidRDefault="00345C24" w:rsidP="00843BB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345C24" w:rsidRPr="00100B2F" w:rsidRDefault="00345C24" w:rsidP="00843BB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345C24" w:rsidRPr="00100B2F" w:rsidRDefault="00345C24" w:rsidP="00843BB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345C24" w:rsidRPr="00100B2F" w:rsidRDefault="00345C24" w:rsidP="00843BB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345C24" w:rsidRPr="00100B2F" w:rsidRDefault="00345C24" w:rsidP="00843BB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00B2F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345C24" w:rsidRPr="00345C24" w:rsidTr="00843BB0">
        <w:trPr>
          <w:trHeight w:val="502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100B2F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00B2F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grievances resolved within 30 days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55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reduction of departmental leave liability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41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invoices paid within 30 days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99.67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345C24" w:rsidRPr="00345C24" w:rsidTr="00843BB0">
        <w:trPr>
          <w:trHeight w:val="282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departmental assets verified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47.52</w:t>
            </w:r>
          </w:p>
        </w:tc>
      </w:tr>
      <w:tr w:rsidR="00345C24" w:rsidRPr="00345C24" w:rsidTr="00843BB0">
        <w:trPr>
          <w:trHeight w:val="80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quarterly implementation reports produced on APP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843BB0">
        <w:trPr>
          <w:trHeight w:val="982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2: Cultural Affairs </w:t>
            </w: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2: Cultural Affairs 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community conversations / dialogues implemented to foster social interaction per year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843BB0">
        <w:trPr>
          <w:trHeight w:val="25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public awareness activations on the “I am the Flag”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843BB0">
        <w:trPr>
          <w:trHeight w:val="52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2.1: Arts and Culture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arts and craft exhibitions hosted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345C24" w:rsidRPr="00345C24" w:rsidTr="00843BB0">
        <w:trPr>
          <w:trHeight w:val="557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community arts centres supported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345C24" w:rsidRPr="00345C24" w:rsidTr="00843BB0">
        <w:trPr>
          <w:trHeight w:val="6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national and historical days celebrated 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345C24" w:rsidRPr="00345C24" w:rsidTr="00843BB0">
        <w:trPr>
          <w:trHeight w:val="39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2.3: Heritage Resource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projects implemented to honour heroes and heroines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843BB0">
        <w:trPr>
          <w:trHeight w:val="36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heritage outreach programmes supported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843BB0">
        <w:trPr>
          <w:trHeight w:val="20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2.4: Language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documents translated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345C24" w:rsidRPr="00345C24" w:rsidTr="00100B2F">
        <w:trPr>
          <w:trHeight w:val="72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capacity building programmes to promote multilingualism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345C24" w:rsidRPr="00345C24" w:rsidTr="00843BB0">
        <w:trPr>
          <w:trHeight w:val="23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book clubs established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345C24" w:rsidRPr="00345C24" w:rsidTr="00843BB0">
        <w:trPr>
          <w:trHeight w:val="421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literary exhibitions staged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345C24" w:rsidRPr="00345C24" w:rsidTr="00100B2F">
        <w:trPr>
          <w:trHeight w:val="290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3: Library and Archives Services </w:t>
            </w: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3: Library and Archives Services 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libraries established per year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100B2F">
        <w:trPr>
          <w:trHeight w:val="480"/>
        </w:trPr>
        <w:tc>
          <w:tcPr>
            <w:tcW w:w="1342" w:type="dxa"/>
            <w:vMerge/>
            <w:vAlign w:val="center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public awareness programmes conducted in archives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313"/>
        </w:trPr>
        <w:tc>
          <w:tcPr>
            <w:tcW w:w="1342" w:type="dxa"/>
            <w:vMerge/>
            <w:vAlign w:val="center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3.1: Library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facilities maintained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345C24" w:rsidRPr="00345C24" w:rsidTr="00843BB0">
        <w:trPr>
          <w:trHeight w:val="417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libraries providing free public internet access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208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215</w:t>
            </w:r>
          </w:p>
        </w:tc>
      </w:tr>
      <w:tr w:rsidR="00345C24" w:rsidRPr="00345C24" w:rsidTr="00843BB0">
        <w:trPr>
          <w:trHeight w:val="39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library materials procured 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5426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7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library sites automated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</w:tr>
      <w:tr w:rsidR="00345C24" w:rsidRPr="00345C24" w:rsidTr="00843BB0">
        <w:trPr>
          <w:trHeight w:val="277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Sub-Programme 3.2: Archives 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records managers trained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398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inspections done in client offices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</w:tr>
      <w:tr w:rsidR="00345C24" w:rsidRPr="00345C24" w:rsidTr="00843BB0">
        <w:trPr>
          <w:trHeight w:val="40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record classification systems approved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808"/>
        </w:trPr>
        <w:tc>
          <w:tcPr>
            <w:tcW w:w="1342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Sport and Recreation</w:t>
            </w: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Sport and Recreation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schools, hubs and clubs provided with equipment and/or attire as per the established norms and standards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</w:tr>
      <w:tr w:rsidR="00345C24" w:rsidRPr="00345C24" w:rsidTr="00100B2F">
        <w:trPr>
          <w:trHeight w:val="48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athletes supported by the sports academies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156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153</w:t>
            </w:r>
          </w:p>
        </w:tc>
      </w:tr>
      <w:tr w:rsidR="00345C24" w:rsidRPr="00345C24" w:rsidTr="00843BB0">
        <w:trPr>
          <w:trHeight w:val="533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learners participating at the district school sport tournaments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1875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1749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207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42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4.1: Sport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Sport Federations supported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345C24" w:rsidRPr="00345C24" w:rsidTr="00843BB0">
        <w:trPr>
          <w:trHeight w:val="265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local leagues supported 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843BB0">
        <w:trPr>
          <w:trHeight w:val="566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4.2: Recreation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active recreation programmes organised and implemented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</w:t>
            </w:r>
          </w:p>
        </w:tc>
      </w:tr>
      <w:tr w:rsidR="00345C24" w:rsidRPr="00345C24" w:rsidTr="00843BB0">
        <w:trPr>
          <w:trHeight w:val="549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people actively participating in active recreation programmes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12000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5174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7105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5125</w:t>
            </w:r>
          </w:p>
        </w:tc>
      </w:tr>
      <w:tr w:rsidR="00345C24" w:rsidRPr="00345C24" w:rsidTr="00100B2F">
        <w:trPr>
          <w:trHeight w:val="720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shd w:val="clear" w:color="auto" w:fill="auto"/>
            <w:hideMark/>
          </w:tcPr>
          <w:p w:rsidR="00345C24" w:rsidRPr="00843BB0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43BB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4.3: School Sport</w:t>
            </w: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learners participating at the provincial school sport tournaments  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994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345C24" w:rsidRPr="00345C24" w:rsidTr="00843BB0">
        <w:trPr>
          <w:trHeight w:val="568"/>
        </w:trPr>
        <w:tc>
          <w:tcPr>
            <w:tcW w:w="1342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7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learners participating at the national school sport tournaments 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283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843BB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</w:tbl>
    <w:p w:rsidR="008534C1" w:rsidRPr="00EF4334" w:rsidRDefault="008534C1">
      <w:pPr>
        <w:rPr>
          <w:rFonts w:cstheme="minorHAnsi"/>
        </w:rPr>
      </w:pPr>
      <w:r w:rsidRPr="00EF4334">
        <w:rPr>
          <w:rFonts w:cstheme="minorHAnsi"/>
        </w:rPr>
        <w:br w:type="page"/>
      </w:r>
    </w:p>
    <w:p w:rsidR="008534C1" w:rsidRPr="00EF4334" w:rsidRDefault="008534C1" w:rsidP="00055895">
      <w:pPr>
        <w:ind w:firstLine="426"/>
        <w:rPr>
          <w:rFonts w:cstheme="minorHAnsi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21452C18" wp14:editId="75B9518F">
            <wp:extent cx="2540203" cy="999591"/>
            <wp:effectExtent l="0" t="0" r="0" b="0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F570D7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Social Development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631"/>
        <w:gridCol w:w="3402"/>
        <w:gridCol w:w="1134"/>
        <w:gridCol w:w="1701"/>
        <w:gridCol w:w="1134"/>
        <w:gridCol w:w="1701"/>
        <w:gridCol w:w="992"/>
        <w:gridCol w:w="1843"/>
      </w:tblGrid>
      <w:tr w:rsidR="00345C24" w:rsidRPr="00345C24" w:rsidTr="00863F3D">
        <w:trPr>
          <w:trHeight w:val="290"/>
          <w:tblHeader/>
        </w:trPr>
        <w:tc>
          <w:tcPr>
            <w:tcW w:w="1341" w:type="dxa"/>
            <w:shd w:val="clear" w:color="auto" w:fill="auto"/>
            <w:hideMark/>
          </w:tcPr>
          <w:p w:rsidR="00345C24" w:rsidRPr="00863F3D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31" w:type="dxa"/>
            <w:shd w:val="clear" w:color="auto" w:fill="auto"/>
            <w:hideMark/>
          </w:tcPr>
          <w:p w:rsidR="00345C24" w:rsidRPr="00863F3D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shd w:val="clear" w:color="auto" w:fill="auto"/>
            <w:hideMark/>
          </w:tcPr>
          <w:p w:rsidR="00345C24" w:rsidRPr="00863F3D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345C24" w:rsidRPr="00863F3D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345C24" w:rsidRPr="00863F3D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345C24" w:rsidRPr="00863F3D" w:rsidRDefault="00345C24" w:rsidP="00345C24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345C24" w:rsidRPr="00345C24" w:rsidTr="00863F3D">
        <w:trPr>
          <w:trHeight w:val="290"/>
          <w:tblHeader/>
        </w:trPr>
        <w:tc>
          <w:tcPr>
            <w:tcW w:w="1341" w:type="dxa"/>
            <w:shd w:val="clear" w:color="FF6E21" w:fill="FF6E21"/>
            <w:vAlign w:val="center"/>
            <w:hideMark/>
          </w:tcPr>
          <w:p w:rsidR="00345C24" w:rsidRPr="00863F3D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631" w:type="dxa"/>
            <w:shd w:val="clear" w:color="FF6E21" w:fill="FF6E21"/>
            <w:vAlign w:val="center"/>
            <w:hideMark/>
          </w:tcPr>
          <w:p w:rsidR="00345C24" w:rsidRPr="00863F3D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3402" w:type="dxa"/>
            <w:shd w:val="clear" w:color="FF6E21" w:fill="FF6E21"/>
            <w:vAlign w:val="center"/>
            <w:hideMark/>
          </w:tcPr>
          <w:p w:rsidR="00345C24" w:rsidRPr="00863F3D" w:rsidRDefault="00345C24" w:rsidP="00345C24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345C24" w:rsidRPr="00863F3D" w:rsidRDefault="00345C24" w:rsidP="00EC0FC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345C24" w:rsidRPr="00863F3D" w:rsidRDefault="00345C24" w:rsidP="00EC0FC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345C24" w:rsidRPr="00863F3D" w:rsidRDefault="00345C24" w:rsidP="00EC0FC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345C24" w:rsidRPr="00863F3D" w:rsidRDefault="00345C24" w:rsidP="00EC0FC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992" w:type="dxa"/>
            <w:shd w:val="clear" w:color="FF6E21" w:fill="FF6E21"/>
            <w:vAlign w:val="center"/>
            <w:hideMark/>
          </w:tcPr>
          <w:p w:rsidR="00345C24" w:rsidRPr="00863F3D" w:rsidRDefault="00345C24" w:rsidP="00EC0FC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843" w:type="dxa"/>
            <w:shd w:val="clear" w:color="FF6E21" w:fill="FF6E21"/>
            <w:vAlign w:val="center"/>
            <w:hideMark/>
          </w:tcPr>
          <w:p w:rsidR="00345C24" w:rsidRPr="00863F3D" w:rsidRDefault="00345C24" w:rsidP="00EC0FC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863F3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345C24" w:rsidRPr="00345C24" w:rsidTr="00EC0FCE">
        <w:trPr>
          <w:trHeight w:val="200"/>
        </w:trPr>
        <w:tc>
          <w:tcPr>
            <w:tcW w:w="1341" w:type="dxa"/>
            <w:vMerge w:val="restart"/>
            <w:shd w:val="clear" w:color="auto" w:fill="auto"/>
            <w:hideMark/>
          </w:tcPr>
          <w:p w:rsidR="00345C24" w:rsidRPr="00863F3D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63F3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 Administration</w:t>
            </w: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345C24" w:rsidRPr="00863F3D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63F3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1.2: Corporate Management Services</w:t>
            </w:r>
          </w:p>
        </w:tc>
        <w:tc>
          <w:tcPr>
            <w:tcW w:w="3402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Annual and interim financial statements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EC0FCE">
        <w:trPr>
          <w:trHeight w:val="277"/>
        </w:trPr>
        <w:tc>
          <w:tcPr>
            <w:tcW w:w="1341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risk management reviews conducted.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345C24" w:rsidRPr="00345C24" w:rsidTr="00EC0FCE">
        <w:trPr>
          <w:trHeight w:val="539"/>
        </w:trPr>
        <w:tc>
          <w:tcPr>
            <w:tcW w:w="1341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345C24" w:rsidRPr="00345C24" w:rsidRDefault="00345C24" w:rsidP="00345C24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approved planning and reporting documents: Annual Performance Plan and Annual Report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345C24" w:rsidRPr="00345C24" w:rsidRDefault="00345C24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C0FCE" w:rsidRPr="00345C24" w:rsidTr="00EC0FCE">
        <w:trPr>
          <w:trHeight w:val="379"/>
        </w:trPr>
        <w:tc>
          <w:tcPr>
            <w:tcW w:w="1341" w:type="dxa"/>
            <w:vMerge w:val="restart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> </w:t>
            </w:r>
          </w:p>
          <w:p w:rsidR="00EC0FCE" w:rsidRPr="00345C24" w:rsidRDefault="00EC0FCE" w:rsidP="00EC0FCE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> </w:t>
            </w: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863F3D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863F3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2.2: Services to Older Persons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older persons accessing residential facilities.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793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829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793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825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793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830</w:t>
            </w:r>
          </w:p>
        </w:tc>
      </w:tr>
      <w:tr w:rsidR="00EC0FCE" w:rsidRPr="00345C24" w:rsidTr="00E64258">
        <w:trPr>
          <w:trHeight w:val="640"/>
        </w:trPr>
        <w:tc>
          <w:tcPr>
            <w:tcW w:w="1341" w:type="dxa"/>
            <w:vMerge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older persons accessing community-based care and support services.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1408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1309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1346</w:t>
            </w:r>
          </w:p>
        </w:tc>
      </w:tr>
      <w:tr w:rsidR="00EC0FCE" w:rsidRPr="00345C24" w:rsidTr="00EC0FCE">
        <w:trPr>
          <w:trHeight w:val="609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older persons accessing services through the Home Community –based Caregivers (HCBC).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1867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1855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1800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1867</w:t>
            </w:r>
          </w:p>
        </w:tc>
      </w:tr>
      <w:tr w:rsidR="00EC0FCE" w:rsidRPr="00345C24" w:rsidTr="00EC0FCE">
        <w:trPr>
          <w:trHeight w:val="389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2.3: Services to the Persons with Disabilities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persons with disabilities accessing residential facilities.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259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258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257</w:t>
            </w:r>
          </w:p>
        </w:tc>
      </w:tr>
      <w:tr w:rsidR="00EC0FCE" w:rsidRPr="00345C24" w:rsidTr="00EC0FCE">
        <w:trPr>
          <w:trHeight w:val="367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persons with disabilities accessing services in protective workshops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207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205</w:t>
            </w:r>
          </w:p>
        </w:tc>
      </w:tr>
      <w:tr w:rsidR="00EC0FCE" w:rsidRPr="00345C24" w:rsidTr="00EC0FCE">
        <w:trPr>
          <w:trHeight w:val="34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2.4: HIV and AIDS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implementers trained on social and behaviour change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36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C0FCE" w:rsidRPr="00345C24" w:rsidTr="00EC0FCE">
        <w:trPr>
          <w:trHeight w:val="46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beneficiaries reached through social and behaviour change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981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903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1057</w:t>
            </w:r>
          </w:p>
        </w:tc>
      </w:tr>
      <w:tr w:rsidR="00EC0FCE" w:rsidRPr="00345C24" w:rsidTr="00EC0FCE">
        <w:trPr>
          <w:trHeight w:val="41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beneficiaries receiving Psychosocial Support Services.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4439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4439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5902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4439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6352</w:t>
            </w:r>
          </w:p>
        </w:tc>
      </w:tr>
      <w:tr w:rsidR="00EC0FCE" w:rsidRPr="00345C24" w:rsidTr="00EC0FCE">
        <w:trPr>
          <w:trHeight w:val="528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2.5: Social Relief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1.Number of individuals who benefited from DSD Social Relief programmes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760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946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1050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1086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795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1152</w:t>
            </w:r>
          </w:p>
        </w:tc>
      </w:tr>
      <w:tr w:rsidR="00EC0FCE" w:rsidRPr="00345C24" w:rsidTr="00EC0FCE">
        <w:trPr>
          <w:trHeight w:val="244"/>
        </w:trPr>
        <w:tc>
          <w:tcPr>
            <w:tcW w:w="134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lastRenderedPageBreak/>
              <w:t>Programme 3: Children and Families</w:t>
            </w: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3.2: Care and Services to Families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family members participating in family preservation services.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1670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1400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1689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1330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1478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1254</w:t>
            </w:r>
          </w:p>
        </w:tc>
      </w:tr>
      <w:tr w:rsidR="00EC0FCE" w:rsidRPr="00345C24" w:rsidTr="00EC0FCE">
        <w:trPr>
          <w:trHeight w:val="363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family members re-united with their families.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</w:t>
            </w:r>
          </w:p>
        </w:tc>
      </w:tr>
      <w:tr w:rsidR="00EC0FCE" w:rsidRPr="00345C24" w:rsidTr="00EC0FCE">
        <w:trPr>
          <w:trHeight w:val="327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family members participating in parenting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293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1158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1390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1017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959</w:t>
            </w:r>
          </w:p>
        </w:tc>
      </w:tr>
      <w:tr w:rsidR="00EC0FCE" w:rsidRPr="00345C24" w:rsidTr="00EC0FCE">
        <w:trPr>
          <w:trHeight w:val="306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3.3: Child Care and Protection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reported cases of child abuse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112</w:t>
            </w:r>
          </w:p>
        </w:tc>
      </w:tr>
      <w:tr w:rsidR="00EC0FCE" w:rsidRPr="00345C24" w:rsidTr="00EC0FCE">
        <w:trPr>
          <w:trHeight w:val="423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children with valid foster care orders.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10755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5378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10755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5810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10755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6253</w:t>
            </w:r>
          </w:p>
        </w:tc>
      </w:tr>
      <w:tr w:rsidR="00EC0FCE" w:rsidRPr="00345C24" w:rsidTr="00EC0FCE">
        <w:trPr>
          <w:trHeight w:val="118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children placed in foster care.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113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145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123</w:t>
            </w:r>
          </w:p>
        </w:tc>
      </w:tr>
      <w:tr w:rsidR="00EC0FCE" w:rsidRPr="00345C24" w:rsidTr="00EC0FCE">
        <w:trPr>
          <w:trHeight w:val="447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children in foster care re-unified with their families.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</w:tr>
      <w:tr w:rsidR="00EC0FCE" w:rsidRPr="00345C24" w:rsidTr="00EC0FCE">
        <w:trPr>
          <w:trHeight w:val="411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children receiving therapeutic services. 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429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504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429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341</w:t>
            </w:r>
          </w:p>
        </w:tc>
      </w:tr>
      <w:tr w:rsidR="00EC0FCE" w:rsidRPr="00345C24" w:rsidTr="00EC0FCE">
        <w:trPr>
          <w:trHeight w:val="814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orders of children in foster care reviewed by Government and NPO’s in order to offer them alternative safe environment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1169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728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672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703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960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600</w:t>
            </w:r>
          </w:p>
        </w:tc>
      </w:tr>
      <w:tr w:rsidR="00EC0FCE" w:rsidRPr="00345C24" w:rsidTr="00EC0FCE">
        <w:trPr>
          <w:trHeight w:val="34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children reached through prevention and early intervention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3338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1387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1200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1818</w:t>
            </w:r>
          </w:p>
        </w:tc>
      </w:tr>
      <w:tr w:rsidR="00EC0FCE" w:rsidRPr="00345C24" w:rsidTr="00EC0FCE">
        <w:trPr>
          <w:trHeight w:val="464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3.5: Child and Youth Care Centres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children placed in Child and Youth Care </w:t>
            </w:r>
            <w:proofErr w:type="spellStart"/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Centers</w:t>
            </w:r>
            <w:proofErr w:type="spellEnd"/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341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354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364</w:t>
            </w:r>
          </w:p>
        </w:tc>
      </w:tr>
      <w:tr w:rsidR="00EC0FCE" w:rsidRPr="00345C24" w:rsidTr="00EC0FCE">
        <w:trPr>
          <w:trHeight w:val="429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children in CYCCs re-unified with their families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EC0FCE" w:rsidRPr="00345C24" w:rsidTr="00EC0FCE">
        <w:trPr>
          <w:trHeight w:val="53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3.6: Community-Based Care Services for children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children reached through community based prevention and early intervention programmes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3541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3869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439</w:t>
            </w:r>
          </w:p>
        </w:tc>
      </w:tr>
      <w:tr w:rsidR="00EC0FCE" w:rsidRPr="00345C24" w:rsidTr="00EC0FCE">
        <w:trPr>
          <w:trHeight w:val="423"/>
        </w:trPr>
        <w:tc>
          <w:tcPr>
            <w:tcW w:w="134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 Restorative Services</w:t>
            </w: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4.2: Crime Prevention and support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persons reached through social crime prevention programmes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5135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5597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3500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4298</w:t>
            </w:r>
          </w:p>
        </w:tc>
      </w:tr>
      <w:tr w:rsidR="00EC0FCE" w:rsidRPr="00345C24" w:rsidTr="00EC0FCE">
        <w:trPr>
          <w:trHeight w:val="543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persons in conflict with the law who completed diversion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31</w:t>
            </w:r>
          </w:p>
        </w:tc>
      </w:tr>
      <w:tr w:rsidR="00EC0FCE" w:rsidRPr="00345C24" w:rsidTr="00EC0FCE">
        <w:trPr>
          <w:trHeight w:val="663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children in conflict with the law who accessed secure care centres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152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42</w:t>
            </w:r>
          </w:p>
        </w:tc>
      </w:tr>
      <w:tr w:rsidR="00EC0FCE" w:rsidRPr="00345C24" w:rsidTr="00EC0FCE">
        <w:trPr>
          <w:trHeight w:val="386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4.3: Victim empowerment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victims of crime and violence accessing support services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861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635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861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861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1132</w:t>
            </w:r>
          </w:p>
        </w:tc>
      </w:tr>
      <w:tr w:rsidR="00EC0FCE" w:rsidRPr="00345C24" w:rsidTr="00EC0FCE">
        <w:trPr>
          <w:trHeight w:val="407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victims of GBVF and crime who accessed sheltering services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41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82</w:t>
            </w:r>
          </w:p>
        </w:tc>
      </w:tr>
      <w:tr w:rsidR="00EC0FCE" w:rsidRPr="00345C24" w:rsidTr="00EC0FCE">
        <w:trPr>
          <w:trHeight w:val="469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4.4: Substance Abuse, Prevention and Rehabilitation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people reached through substance abuse prevention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520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695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470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508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420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816</w:t>
            </w:r>
          </w:p>
        </w:tc>
      </w:tr>
      <w:tr w:rsidR="00EC0FCE" w:rsidRPr="00345C24" w:rsidTr="00EC0FCE">
        <w:trPr>
          <w:trHeight w:val="561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service users who accessed Substance Use Disorder (SUD) treatment services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54</w:t>
            </w:r>
          </w:p>
        </w:tc>
      </w:tr>
      <w:tr w:rsidR="00EC0FCE" w:rsidRPr="00345C24" w:rsidTr="00EC0FCE">
        <w:trPr>
          <w:trHeight w:val="174"/>
        </w:trPr>
        <w:tc>
          <w:tcPr>
            <w:tcW w:w="134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5: Development and Research</w:t>
            </w: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5.10.Sub-Programme: Institutional Funding and Monitoring 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funding applications assessed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EC0FCE" w:rsidRPr="00345C24" w:rsidTr="00EC0FCE">
        <w:trPr>
          <w:trHeight w:val="37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funded organisations monitored 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72</w:t>
            </w:r>
          </w:p>
        </w:tc>
      </w:tr>
      <w:tr w:rsidR="00EC0FCE" w:rsidRPr="00345C24" w:rsidTr="00EC0FCE">
        <w:trPr>
          <w:trHeight w:val="34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5.2: Community Mobilisation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people reached through community mobilization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1140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1568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1140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1361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570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1032</w:t>
            </w:r>
          </w:p>
        </w:tc>
      </w:tr>
      <w:tr w:rsidR="00EC0FCE" w:rsidRPr="00345C24" w:rsidTr="00863F3D">
        <w:trPr>
          <w:trHeight w:val="720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outcomes-based Community Mobilization and Empowerment (CME)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</w:t>
            </w:r>
          </w:p>
        </w:tc>
      </w:tr>
      <w:tr w:rsidR="00EC0FCE" w:rsidRPr="00345C24" w:rsidTr="00EC0FCE">
        <w:trPr>
          <w:trHeight w:val="291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5.3: Institutional capacity building and support for NPOs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NPOs capacitated 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</w:tr>
      <w:tr w:rsidR="00EC0FCE" w:rsidRPr="00345C24" w:rsidTr="00EC0FCE">
        <w:trPr>
          <w:trHeight w:val="463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EC0FCE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EC0FCE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5.4: Poverty Alleviation and Sustainable Livelihoods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people benefitting from poverty reduction initiatives.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601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88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49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54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</w:t>
            </w:r>
          </w:p>
        </w:tc>
      </w:tr>
      <w:tr w:rsidR="00EC0FCE" w:rsidRPr="00345C24" w:rsidTr="00EC0FCE">
        <w:trPr>
          <w:trHeight w:val="413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households accessing food through DSD food security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1372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704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886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2663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121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1490</w:t>
            </w:r>
          </w:p>
        </w:tc>
      </w:tr>
      <w:tr w:rsidR="00EC0FCE" w:rsidRPr="00345C24" w:rsidTr="00120408">
        <w:trPr>
          <w:trHeight w:val="391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people accessing food through DSD feeding programmes (centre-based)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31950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12452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8635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7481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8358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11450</w:t>
            </w:r>
          </w:p>
        </w:tc>
      </w:tr>
      <w:tr w:rsidR="00EC0FCE" w:rsidRPr="00345C24" w:rsidTr="00120408">
        <w:trPr>
          <w:trHeight w:val="227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EC0FCE" w:rsidRPr="00120408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5.5: Community Based Research and Planning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households profiled.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455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1160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625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453</w:t>
            </w:r>
          </w:p>
        </w:tc>
      </w:tr>
      <w:tr w:rsidR="00EC0FCE" w:rsidRPr="00345C24" w:rsidTr="00863F3D">
        <w:trPr>
          <w:trHeight w:val="720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120408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5.6: Youth development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youth development structures supported.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24</w:t>
            </w:r>
          </w:p>
        </w:tc>
      </w:tr>
      <w:tr w:rsidR="00EC0FCE" w:rsidRPr="00345C24" w:rsidTr="00120408">
        <w:trPr>
          <w:trHeight w:val="102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youth participating in skills development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119</w:t>
            </w:r>
          </w:p>
        </w:tc>
      </w:tr>
      <w:tr w:rsidR="00EC0FCE" w:rsidRPr="00345C24" w:rsidTr="00120408">
        <w:trPr>
          <w:trHeight w:val="221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youth participating in youth mobilization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9366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8500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8477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7500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8827</w:t>
            </w:r>
          </w:p>
        </w:tc>
      </w:tr>
      <w:tr w:rsidR="00EC0FCE" w:rsidRPr="00345C24" w:rsidTr="00120408">
        <w:trPr>
          <w:trHeight w:val="327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EC0FCE" w:rsidRPr="00120408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5.7: Women development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women participating in empowerment programmes.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68</w:t>
            </w:r>
          </w:p>
        </w:tc>
      </w:tr>
      <w:tr w:rsidR="00EC0FCE" w:rsidRPr="00345C24" w:rsidTr="00120408">
        <w:trPr>
          <w:trHeight w:val="365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 w:val="restart"/>
            <w:shd w:val="clear" w:color="auto" w:fill="auto"/>
            <w:hideMark/>
          </w:tcPr>
          <w:p w:rsidR="00EC0FCE" w:rsidRPr="00120408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 Programme 5.8: Population Policy Promotion</w:t>
            </w: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population capacity development sessions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EC0FCE" w:rsidRPr="00345C24" w:rsidTr="00863F3D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Population Advocacy, Information, Education and Communication (IEC) activities implemented.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</w:tr>
      <w:tr w:rsidR="00EC0FCE" w:rsidRPr="00345C24" w:rsidTr="00120408">
        <w:trPr>
          <w:trHeight w:val="372"/>
        </w:trPr>
        <w:tc>
          <w:tcPr>
            <w:tcW w:w="134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hideMark/>
          </w:tcPr>
          <w:p w:rsidR="00EC0FCE" w:rsidRPr="00345C24" w:rsidRDefault="00EC0FCE" w:rsidP="00EC0FC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demographic profiles completed.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</w:t>
            </w:r>
          </w:p>
        </w:tc>
        <w:tc>
          <w:tcPr>
            <w:tcW w:w="992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  <w:hideMark/>
          </w:tcPr>
          <w:p w:rsidR="00EC0FCE" w:rsidRPr="00345C24" w:rsidRDefault="00EC0FC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345C24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</w:t>
            </w:r>
          </w:p>
        </w:tc>
      </w:tr>
    </w:tbl>
    <w:p w:rsidR="008534C1" w:rsidRPr="0027159C" w:rsidRDefault="008534C1" w:rsidP="008534C1">
      <w:pPr>
        <w:ind w:left="4320" w:hanging="4320"/>
        <w:rPr>
          <w:rFonts w:eastAsia="Times New Roman" w:cstheme="minorHAnsi"/>
          <w:color w:val="FF6E21"/>
          <w:sz w:val="18"/>
          <w:szCs w:val="18"/>
        </w:rPr>
      </w:pPr>
    </w:p>
    <w:p w:rsidR="00F570D7" w:rsidRPr="0027159C" w:rsidRDefault="00F570D7" w:rsidP="008534C1">
      <w:pPr>
        <w:ind w:left="4320" w:hanging="4320"/>
        <w:rPr>
          <w:rFonts w:eastAsia="Times New Roman" w:cstheme="minorHAnsi"/>
          <w:color w:val="FF6E21"/>
          <w:sz w:val="18"/>
          <w:szCs w:val="18"/>
        </w:rPr>
      </w:pPr>
    </w:p>
    <w:p w:rsidR="00345C24" w:rsidRDefault="008534C1" w:rsidP="00DF4BC5">
      <w:pPr>
        <w:rPr>
          <w:rFonts w:cstheme="minorHAnsi"/>
          <w:sz w:val="18"/>
          <w:szCs w:val="18"/>
        </w:rPr>
      </w:pPr>
      <w:r w:rsidRPr="0027159C">
        <w:rPr>
          <w:rFonts w:cstheme="minorHAnsi"/>
          <w:sz w:val="18"/>
          <w:szCs w:val="18"/>
        </w:rPr>
        <w:tab/>
      </w:r>
      <w:r w:rsidRPr="0027159C">
        <w:rPr>
          <w:rFonts w:cstheme="minorHAnsi"/>
          <w:sz w:val="18"/>
          <w:szCs w:val="18"/>
        </w:rPr>
        <w:tab/>
      </w:r>
    </w:p>
    <w:p w:rsidR="00345C24" w:rsidRDefault="00345C24" w:rsidP="00DF4BC5">
      <w:pPr>
        <w:rPr>
          <w:rFonts w:cstheme="minorHAnsi"/>
          <w:sz w:val="18"/>
          <w:szCs w:val="18"/>
        </w:rPr>
      </w:pPr>
    </w:p>
    <w:p w:rsidR="00345C24" w:rsidRDefault="00345C24" w:rsidP="00DF4BC5">
      <w:pPr>
        <w:rPr>
          <w:rFonts w:cstheme="minorHAnsi"/>
          <w:sz w:val="18"/>
          <w:szCs w:val="18"/>
        </w:rPr>
      </w:pPr>
    </w:p>
    <w:p w:rsidR="00345C24" w:rsidRDefault="00345C24" w:rsidP="00DF4BC5">
      <w:pPr>
        <w:rPr>
          <w:rFonts w:cstheme="minorHAnsi"/>
          <w:sz w:val="18"/>
          <w:szCs w:val="18"/>
        </w:rPr>
      </w:pPr>
    </w:p>
    <w:p w:rsidR="00345C24" w:rsidRDefault="00345C24" w:rsidP="00DF4BC5">
      <w:pPr>
        <w:rPr>
          <w:rFonts w:cstheme="minorHAnsi"/>
          <w:sz w:val="18"/>
          <w:szCs w:val="18"/>
        </w:rPr>
      </w:pPr>
    </w:p>
    <w:p w:rsidR="008534C1" w:rsidRDefault="008534C1" w:rsidP="00DF4BC5">
      <w:pPr>
        <w:rPr>
          <w:rFonts w:cstheme="minorHAnsi"/>
          <w:sz w:val="18"/>
          <w:szCs w:val="18"/>
        </w:rPr>
      </w:pPr>
      <w:r w:rsidRPr="0027159C">
        <w:rPr>
          <w:rFonts w:cstheme="minorHAnsi"/>
          <w:sz w:val="18"/>
          <w:szCs w:val="18"/>
        </w:rPr>
        <w:tab/>
      </w:r>
    </w:p>
    <w:p w:rsidR="00120408" w:rsidRDefault="00120408" w:rsidP="00DF4BC5">
      <w:pPr>
        <w:rPr>
          <w:rFonts w:cstheme="minorHAnsi"/>
          <w:sz w:val="18"/>
          <w:szCs w:val="18"/>
        </w:rPr>
      </w:pPr>
    </w:p>
    <w:p w:rsidR="00120408" w:rsidRDefault="00120408" w:rsidP="00DF4BC5">
      <w:pPr>
        <w:rPr>
          <w:rFonts w:cstheme="minorHAnsi"/>
          <w:sz w:val="18"/>
          <w:szCs w:val="18"/>
        </w:rPr>
      </w:pPr>
    </w:p>
    <w:p w:rsidR="00120408" w:rsidRPr="0027159C" w:rsidRDefault="00120408" w:rsidP="00DF4BC5">
      <w:pPr>
        <w:rPr>
          <w:rFonts w:cstheme="minorHAnsi"/>
          <w:sz w:val="18"/>
          <w:szCs w:val="18"/>
        </w:rPr>
      </w:pPr>
    </w:p>
    <w:p w:rsidR="00C97C68" w:rsidRPr="00EF4334" w:rsidRDefault="003704ED" w:rsidP="00C97C68">
      <w:pPr>
        <w:rPr>
          <w:rFonts w:cstheme="minorHAnsi"/>
          <w:b/>
          <w:sz w:val="24"/>
          <w:szCs w:val="24"/>
        </w:rPr>
      </w:pPr>
      <w:r w:rsidRPr="00EF4334">
        <w:rPr>
          <w:rFonts w:cstheme="minorHAnsi"/>
          <w:b/>
          <w:sz w:val="24"/>
          <w:szCs w:val="24"/>
        </w:rPr>
        <w:lastRenderedPageBreak/>
        <w:t>Department of Transport, Safety and Liaison</w:t>
      </w:r>
    </w:p>
    <w:p w:rsidR="00C97C68" w:rsidRPr="00EF4334" w:rsidRDefault="00C97C68" w:rsidP="00120408">
      <w:pPr>
        <w:rPr>
          <w:rFonts w:cstheme="minorHAnsi"/>
          <w:b/>
        </w:rPr>
      </w:pPr>
      <w:r w:rsidRPr="00EF4334">
        <w:rPr>
          <w:rFonts w:cstheme="minorHAnsi"/>
          <w:noProof/>
        </w:rPr>
        <w:drawing>
          <wp:inline distT="0" distB="0" distL="0" distR="0" wp14:anchorId="490AB712" wp14:editId="3B1E1564">
            <wp:extent cx="2540203" cy="999591"/>
            <wp:effectExtent l="0" t="0" r="0" b="0"/>
            <wp:docPr id="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A83C8F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="003704ED" w:rsidRPr="00EF4334">
        <w:rPr>
          <w:rFonts w:eastAsia="Times New Roman" w:cstheme="minorHAnsi"/>
          <w:b/>
          <w:color w:val="FF6E21"/>
          <w:sz w:val="24"/>
          <w:szCs w:val="24"/>
        </w:rPr>
        <w:t>Transport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2835"/>
        <w:gridCol w:w="1134"/>
        <w:gridCol w:w="1701"/>
        <w:gridCol w:w="1134"/>
        <w:gridCol w:w="1701"/>
        <w:gridCol w:w="1134"/>
        <w:gridCol w:w="1701"/>
      </w:tblGrid>
      <w:tr w:rsidR="008B234E" w:rsidRPr="008B234E" w:rsidTr="00120408">
        <w:trPr>
          <w:trHeight w:val="290"/>
          <w:tblHeader/>
        </w:trPr>
        <w:tc>
          <w:tcPr>
            <w:tcW w:w="1555" w:type="dxa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8B234E" w:rsidRPr="008B234E" w:rsidTr="00120408">
        <w:trPr>
          <w:trHeight w:val="290"/>
          <w:tblHeader/>
        </w:trPr>
        <w:tc>
          <w:tcPr>
            <w:tcW w:w="1555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984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8B234E" w:rsidRPr="008B234E" w:rsidTr="00120408">
        <w:trPr>
          <w:trHeight w:val="94"/>
        </w:trPr>
        <w:tc>
          <w:tcPr>
            <w:tcW w:w="1555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 xml:space="preserve">Programme 3: Transport Operations 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 xml:space="preserve">Sub-Programme 3.2: Public Transport Services 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routes subsidised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</w:tr>
      <w:tr w:rsidR="008B234E" w:rsidRPr="008B234E" w:rsidTr="00120408">
        <w:trPr>
          <w:trHeight w:val="139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Average number of weekday passenger trips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8B234E" w:rsidRPr="008B234E" w:rsidTr="00120408">
        <w:trPr>
          <w:trHeight w:val="259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hours operated by public transport operators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8B234E" w:rsidRPr="008B234E" w:rsidTr="00120408">
        <w:trPr>
          <w:trHeight w:val="238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>Sub-Programme 3.3: Operator Licences and Permits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Provincial Regulating Entity (PRE) hearings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120408">
        <w:trPr>
          <w:trHeight w:val="275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>Sub-Programme 3.5: Infrastructure Operations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operative decentralised offices established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120408">
        <w:trPr>
          <w:trHeight w:val="597"/>
        </w:trPr>
        <w:tc>
          <w:tcPr>
            <w:tcW w:w="1555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 xml:space="preserve">Programme 4: Transport Regulation </w:t>
            </w:r>
          </w:p>
        </w:tc>
        <w:tc>
          <w:tcPr>
            <w:tcW w:w="1984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>Sub-Programme 4.2: Transport Administration and Licensing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compliance inspections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</w:tr>
      <w:tr w:rsidR="008B234E" w:rsidRPr="008B234E" w:rsidTr="00120408">
        <w:trPr>
          <w:trHeight w:val="292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  <w:t>Sub-Programme 4.3: Law Enforcement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speed operations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124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</w:tr>
      <w:tr w:rsidR="008B234E" w:rsidRPr="008B234E" w:rsidTr="00120408">
        <w:trPr>
          <w:trHeight w:val="50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PTI operational reports compiled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120408">
        <w:trPr>
          <w:trHeight w:val="91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vehicles weighed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199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1454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8500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1371</w:t>
            </w:r>
          </w:p>
        </w:tc>
      </w:tr>
      <w:tr w:rsidR="008B234E" w:rsidRPr="008B234E" w:rsidTr="00120408">
        <w:trPr>
          <w:trHeight w:val="294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drunken driving operations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152</w:t>
            </w:r>
          </w:p>
        </w:tc>
      </w:tr>
      <w:tr w:rsidR="008B234E" w:rsidRPr="008B234E" w:rsidTr="00120408">
        <w:trPr>
          <w:trHeight w:val="271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vehicles stopped and checked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35000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31462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35000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47408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50000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44669</w:t>
            </w:r>
          </w:p>
        </w:tc>
      </w:tr>
      <w:tr w:rsidR="008B234E" w:rsidRPr="008B234E" w:rsidTr="00120408">
        <w:trPr>
          <w:trHeight w:val="107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pedestrian operations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</w:tr>
      <w:tr w:rsidR="008B234E" w:rsidRPr="008B234E" w:rsidTr="00120408">
        <w:trPr>
          <w:trHeight w:val="50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road safety awareness interventions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</w:tr>
      <w:tr w:rsidR="008B234E" w:rsidRPr="008B234E" w:rsidTr="00120408">
        <w:trPr>
          <w:trHeight w:val="327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schools involved in road safety education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11</w:t>
            </w:r>
          </w:p>
        </w:tc>
      </w:tr>
    </w:tbl>
    <w:p w:rsidR="00C7163D" w:rsidRDefault="00C7163D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B57056" w:rsidRDefault="00B57056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120408" w:rsidRDefault="00120408" w:rsidP="0032775F">
      <w:pPr>
        <w:rPr>
          <w:rFonts w:eastAsia="Times New Roman" w:cstheme="minorHAnsi"/>
          <w:b/>
          <w:color w:val="006400"/>
          <w:sz w:val="24"/>
          <w:szCs w:val="24"/>
        </w:rPr>
      </w:pPr>
    </w:p>
    <w:p w:rsidR="00DD4A2E" w:rsidRPr="00C7163D" w:rsidRDefault="00C7163D" w:rsidP="0032775F">
      <w:pPr>
        <w:rPr>
          <w:rFonts w:eastAsia="Times New Roman" w:cstheme="minorHAnsi"/>
          <w:b/>
          <w:color w:val="006400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37C773CA" wp14:editId="79B1CE3E">
            <wp:extent cx="2540203" cy="999591"/>
            <wp:effectExtent l="0" t="0" r="0" b="0"/>
            <wp:docPr id="1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04ED"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DD4A2E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="003704ED"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="003704ED"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="003704ED"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="003704ED"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="003704ED" w:rsidRPr="00EF4334">
        <w:rPr>
          <w:rFonts w:eastAsia="Times New Roman" w:cstheme="minorHAnsi"/>
          <w:b/>
          <w:color w:val="FF6E21"/>
          <w:sz w:val="24"/>
          <w:szCs w:val="24"/>
        </w:rPr>
        <w:t>Safety and Liaison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2835"/>
        <w:gridCol w:w="1134"/>
        <w:gridCol w:w="1701"/>
        <w:gridCol w:w="1134"/>
        <w:gridCol w:w="1701"/>
        <w:gridCol w:w="1134"/>
        <w:gridCol w:w="1701"/>
      </w:tblGrid>
      <w:tr w:rsidR="008B234E" w:rsidRPr="008B234E" w:rsidTr="00120408">
        <w:trPr>
          <w:trHeight w:val="290"/>
          <w:tblHeader/>
        </w:trPr>
        <w:tc>
          <w:tcPr>
            <w:tcW w:w="1555" w:type="dxa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8B234E" w:rsidRPr="008B234E" w:rsidTr="00120408">
        <w:trPr>
          <w:trHeight w:val="290"/>
          <w:tblHeader/>
        </w:trPr>
        <w:tc>
          <w:tcPr>
            <w:tcW w:w="1555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1984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120408" w:rsidRDefault="008B234E" w:rsidP="0012040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120408" w:rsidRDefault="008B234E" w:rsidP="0012040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120408" w:rsidRDefault="008B234E" w:rsidP="0012040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120408" w:rsidRDefault="008B234E" w:rsidP="0012040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120408" w:rsidRDefault="008B234E" w:rsidP="0012040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120408" w:rsidRDefault="008B234E" w:rsidP="00120408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120408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8B234E" w:rsidRPr="008B234E" w:rsidTr="00120408">
        <w:trPr>
          <w:trHeight w:val="625"/>
        </w:trPr>
        <w:tc>
          <w:tcPr>
            <w:tcW w:w="1555" w:type="dxa"/>
            <w:vMerge w:val="restart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1.3: Financial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procurement for women, youth and persons with disability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120408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26</w:t>
            </w:r>
          </w:p>
        </w:tc>
      </w:tr>
      <w:tr w:rsidR="008B234E" w:rsidRPr="008B234E" w:rsidTr="00291DB8">
        <w:trPr>
          <w:trHeight w:val="379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of uncontested invoices paid within 30 days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98</w:t>
            </w:r>
          </w:p>
        </w:tc>
      </w:tr>
      <w:tr w:rsidR="008B234E" w:rsidRPr="008B234E" w:rsidTr="00291DB8">
        <w:trPr>
          <w:trHeight w:val="358"/>
        </w:trPr>
        <w:tc>
          <w:tcPr>
            <w:tcW w:w="1555" w:type="dxa"/>
            <w:vMerge w:val="restart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Provincial Secretariat for Police Service</w:t>
            </w:r>
          </w:p>
        </w:tc>
        <w:tc>
          <w:tcPr>
            <w:tcW w:w="1984" w:type="dxa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Sub-Programme 2.2: Policy and Research 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Community Satisfaction surveys completed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8B234E" w:rsidRPr="008B234E" w:rsidTr="00291DB8">
        <w:trPr>
          <w:trHeight w:val="335"/>
        </w:trPr>
        <w:tc>
          <w:tcPr>
            <w:tcW w:w="1555" w:type="dxa"/>
            <w:vMerge/>
            <w:vAlign w:val="center"/>
            <w:hideMark/>
          </w:tcPr>
          <w:p w:rsidR="008B234E" w:rsidRPr="00120408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B234E" w:rsidRPr="00120408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12040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2.3: Monitoring and Evaluation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% of IPID recommendations implemented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8B234E" w:rsidRPr="008B234E" w:rsidTr="00291DB8">
        <w:trPr>
          <w:trHeight w:val="313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National Monitoring Tools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</w:t>
            </w:r>
          </w:p>
        </w:tc>
      </w:tr>
      <w:tr w:rsidR="008B234E" w:rsidRPr="008B234E" w:rsidTr="00291DB8">
        <w:trPr>
          <w:trHeight w:val="277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% of DVA Tools recommendations implemented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8B234E" w:rsidRPr="008B234E" w:rsidTr="00291DB8">
        <w:trPr>
          <w:trHeight w:val="397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291DB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2.4: Safety Promotion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social crime prevention programmes implemented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8B234E" w:rsidRPr="008B234E" w:rsidTr="00291DB8">
        <w:trPr>
          <w:trHeight w:val="376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Victim Friendly facilities assessed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</w:tr>
      <w:tr w:rsidR="008B234E" w:rsidRPr="008B234E" w:rsidTr="00291DB8">
        <w:trPr>
          <w:trHeight w:val="425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School safety assessment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25</w:t>
            </w:r>
          </w:p>
        </w:tc>
      </w:tr>
      <w:tr w:rsidR="008B234E" w:rsidRPr="008B234E" w:rsidTr="00291DB8">
        <w:trPr>
          <w:trHeight w:val="473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291DB8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2.5: Community Police Relations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police stations that have functional CPFs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</w:t>
            </w:r>
          </w:p>
        </w:tc>
      </w:tr>
      <w:tr w:rsidR="008B234E" w:rsidRPr="008B234E" w:rsidTr="00291DB8">
        <w:trPr>
          <w:trHeight w:val="409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municipalities that have functional CSFs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</w:tr>
      <w:tr w:rsidR="008B234E" w:rsidRPr="008B234E" w:rsidTr="00291DB8">
        <w:trPr>
          <w:trHeight w:val="387"/>
        </w:trPr>
        <w:tc>
          <w:tcPr>
            <w:tcW w:w="1555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Work opportunities created through EPWP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84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84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84</w:t>
            </w:r>
          </w:p>
        </w:tc>
      </w:tr>
    </w:tbl>
    <w:p w:rsidR="00DD4A2E" w:rsidRDefault="00DD4A2E" w:rsidP="00670A0D">
      <w:pPr>
        <w:rPr>
          <w:rFonts w:eastAsia="Times New Roman" w:cstheme="minorHAnsi"/>
          <w:color w:val="FF6E21"/>
          <w:sz w:val="24"/>
          <w:szCs w:val="24"/>
        </w:rPr>
      </w:pPr>
    </w:p>
    <w:p w:rsidR="008B234E" w:rsidRPr="00134B5E" w:rsidRDefault="008B234E" w:rsidP="00670A0D">
      <w:pPr>
        <w:rPr>
          <w:rFonts w:eastAsia="Times New Roman" w:cstheme="minorHAnsi"/>
          <w:color w:val="FF6E21"/>
          <w:sz w:val="24"/>
          <w:szCs w:val="24"/>
        </w:rPr>
      </w:pPr>
    </w:p>
    <w:p w:rsidR="003704ED" w:rsidRPr="00EF4334" w:rsidRDefault="003704ED" w:rsidP="00EF4334">
      <w:pPr>
        <w:ind w:firstLine="426"/>
        <w:rPr>
          <w:rFonts w:cstheme="minorHAnsi"/>
          <w:b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16EE4789" wp14:editId="4E3B215E">
            <wp:extent cx="2540203" cy="999591"/>
            <wp:effectExtent l="0" t="0" r="0" b="0"/>
            <wp:docPr id="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CD4230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="002016D4" w:rsidRPr="00EF4334">
        <w:rPr>
          <w:rFonts w:eastAsia="Times New Roman" w:cstheme="minorHAnsi"/>
          <w:b/>
          <w:color w:val="FF6E21"/>
          <w:sz w:val="24"/>
          <w:szCs w:val="24"/>
        </w:rPr>
        <w:t>Provincial Treasury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2099"/>
        <w:gridCol w:w="2835"/>
        <w:gridCol w:w="1134"/>
        <w:gridCol w:w="1701"/>
        <w:gridCol w:w="1134"/>
        <w:gridCol w:w="1701"/>
        <w:gridCol w:w="1134"/>
        <w:gridCol w:w="1701"/>
      </w:tblGrid>
      <w:tr w:rsidR="008B234E" w:rsidRPr="008B234E" w:rsidTr="004B219D">
        <w:trPr>
          <w:trHeight w:val="290"/>
          <w:tblHeader/>
        </w:trPr>
        <w:tc>
          <w:tcPr>
            <w:tcW w:w="1440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9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8B234E" w:rsidRPr="008B234E" w:rsidTr="004B219D">
        <w:trPr>
          <w:trHeight w:val="290"/>
          <w:tblHeader/>
        </w:trPr>
        <w:tc>
          <w:tcPr>
            <w:tcW w:w="1440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2099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4B219D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8B234E" w:rsidRPr="008B234E" w:rsidTr="004B219D">
        <w:trPr>
          <w:trHeight w:val="483"/>
        </w:trPr>
        <w:tc>
          <w:tcPr>
            <w:tcW w:w="1440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Administration</w:t>
            </w:r>
          </w:p>
        </w:tc>
        <w:tc>
          <w:tcPr>
            <w:tcW w:w="2099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1.2: Executive Support and Stakeholder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Functional Risk and Ethics Management Committee (REMC)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311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1.3: Corporate Management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% of vacant and funded posts filled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68.46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75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69.48</w:t>
            </w:r>
          </w:p>
        </w:tc>
      </w:tr>
      <w:tr w:rsidR="008B234E" w:rsidRPr="008B234E" w:rsidTr="004B219D">
        <w:trPr>
          <w:trHeight w:val="415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Percentage of women appointed at SMS level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41</w:t>
            </w:r>
          </w:p>
        </w:tc>
      </w:tr>
      <w:tr w:rsidR="008B234E" w:rsidRPr="008B234E" w:rsidTr="004B219D">
        <w:trPr>
          <w:trHeight w:val="379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progress reports on IT Implementation plan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357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1.4: Financial Management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% of valid supplier invoices paid within 30 days.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99.86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8B234E" w:rsidRPr="008B234E" w:rsidTr="004B219D">
        <w:trPr>
          <w:trHeight w:val="537"/>
        </w:trPr>
        <w:tc>
          <w:tcPr>
            <w:tcW w:w="1440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 Sustainable Resource Management</w:t>
            </w:r>
          </w:p>
        </w:tc>
        <w:tc>
          <w:tcPr>
            <w:tcW w:w="2099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2.2: Budget, Public Finance &amp; Data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Provincial Budget implementation assessment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33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2.3: Economic and Fiscal Oversight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Provincial  research publications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11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Revenue collection assessment reports produced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389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2.4: Infrastructure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Infrastructure Technical advisory report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650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Infrastructure Budget &amp; expenditure outcome assessments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960"/>
        </w:trPr>
        <w:tc>
          <w:tcPr>
            <w:tcW w:w="1440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3: Assets and Liabilities Management</w:t>
            </w: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3.2: Provincial Supply Chain and Asset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support plans implemented for improvement of compliance in line with SCM and Asset management prescripts by Provincial departments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528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capacity building sessions provided to SMME’s and Departments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22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3.3: Financial Information Management Systems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transversal systems assessments reports produced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4B219D">
        <w:trPr>
          <w:trHeight w:val="542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capacity building sessions conducted on transversal systems.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4B219D">
        <w:trPr>
          <w:trHeight w:val="580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3.4: Banking and Cash Flow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Analysis of spending by departments to determine compliance with cash flow requirements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4B219D">
        <w:trPr>
          <w:trHeight w:val="395"/>
        </w:trPr>
        <w:tc>
          <w:tcPr>
            <w:tcW w:w="1440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Financial Governance</w:t>
            </w: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4.2: Provincial Accounting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Consolidated annual financial information tabled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4B219D">
        <w:trPr>
          <w:trHeight w:val="515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capacity building programmes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23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4.3: Norms and Standards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PFMA forum conducted.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671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compiled on payment of creditors within 30 days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25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4.4: Provincial Risk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Risk Management structure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8B234E" w:rsidRPr="008B234E" w:rsidTr="004B219D">
        <w:trPr>
          <w:trHeight w:val="389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Risk Management Forums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509"/>
        </w:trPr>
        <w:tc>
          <w:tcPr>
            <w:tcW w:w="1440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5: Municipal Finance</w:t>
            </w: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5.1: Programme Support MFM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capacity building programmes implemented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4B219D">
        <w:trPr>
          <w:trHeight w:val="417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Consolidated Municipal Budget implementation assessments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395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Consolidated municipal budgets assessments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4B219D">
        <w:trPr>
          <w:trHeight w:val="373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Sub-Programme 5.2: Cluster 1: ZF </w:t>
            </w:r>
            <w:proofErr w:type="spellStart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Mgcawu</w:t>
            </w:r>
            <w:proofErr w:type="spellEnd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&amp; Namaqua District Office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Risk Management structures report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621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Internal Audit structures report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4B219D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386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Sub-Programme 5.3: Cluster 2: </w:t>
            </w:r>
            <w:proofErr w:type="spellStart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Pixley</w:t>
            </w:r>
            <w:proofErr w:type="spellEnd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Ka</w:t>
            </w:r>
            <w:proofErr w:type="spellEnd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Seme</w:t>
            </w:r>
            <w:proofErr w:type="spellEnd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District Office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Risk Management structures report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07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Internal Audit structures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69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Sub-Programme 5.4: Cluster 3: John </w:t>
            </w:r>
            <w:proofErr w:type="spellStart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Taolo</w:t>
            </w:r>
            <w:proofErr w:type="spellEnd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Gaetsewe</w:t>
            </w:r>
            <w:proofErr w:type="spellEnd"/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&amp; Frances Baard District Office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Risk Management structures report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419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Internal Audit structures report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4B219D">
        <w:trPr>
          <w:trHeight w:val="398"/>
        </w:trPr>
        <w:tc>
          <w:tcPr>
            <w:tcW w:w="1440" w:type="dxa"/>
            <w:vMerge w:val="restart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Programme 6: Shared Internal Audit Services </w:t>
            </w:r>
          </w:p>
        </w:tc>
        <w:tc>
          <w:tcPr>
            <w:tcW w:w="2099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6.1: Programme Support PIA &amp; AC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achievement of the Audit Committee Charter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</w:t>
            </w:r>
          </w:p>
        </w:tc>
      </w:tr>
      <w:tr w:rsidR="008B234E" w:rsidRPr="008B234E" w:rsidTr="004B219D">
        <w:trPr>
          <w:trHeight w:val="577"/>
        </w:trPr>
        <w:tc>
          <w:tcPr>
            <w:tcW w:w="1440" w:type="dxa"/>
            <w:vMerge/>
            <w:vAlign w:val="center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auto"/>
            <w:hideMark/>
          </w:tcPr>
          <w:p w:rsidR="008B234E" w:rsidRPr="004B219D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6.2: Cluster 1: Education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achievement of Internal audit plan / revised internal audit plan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</w:tr>
      <w:tr w:rsidR="008B234E" w:rsidRPr="008B234E" w:rsidTr="004B219D">
        <w:trPr>
          <w:trHeight w:val="615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4B219D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6.3: Cluster 2: Health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achievement of Internal audit plan / revised internal audit plan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</w:tr>
      <w:tr w:rsidR="008B234E" w:rsidRPr="008B234E" w:rsidTr="004B219D">
        <w:trPr>
          <w:trHeight w:val="666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6.4: Cluster 3: Agriculture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achievement of Internal audit plan / revised internal audit plan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</w:tr>
      <w:tr w:rsidR="008B234E" w:rsidRPr="008B234E" w:rsidTr="00060D60">
        <w:trPr>
          <w:trHeight w:val="690"/>
        </w:trPr>
        <w:tc>
          <w:tcPr>
            <w:tcW w:w="1440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6.5: Cluster 4: DPW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achievement of Internal audit plan / revised internal audit plan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61</w:t>
            </w:r>
          </w:p>
        </w:tc>
      </w:tr>
    </w:tbl>
    <w:p w:rsidR="00271418" w:rsidRDefault="00271418" w:rsidP="008244D7">
      <w:pPr>
        <w:rPr>
          <w:rFonts w:cstheme="minorHAnsi"/>
        </w:rPr>
      </w:pPr>
    </w:p>
    <w:p w:rsidR="00CD4230" w:rsidRDefault="00CD4230" w:rsidP="008244D7">
      <w:pPr>
        <w:rPr>
          <w:rFonts w:cstheme="minorHAnsi"/>
        </w:rPr>
      </w:pPr>
    </w:p>
    <w:p w:rsidR="00CD4230" w:rsidRDefault="00CD4230" w:rsidP="008244D7">
      <w:pPr>
        <w:rPr>
          <w:rFonts w:cstheme="minorHAnsi"/>
        </w:rPr>
      </w:pPr>
    </w:p>
    <w:p w:rsidR="00CD4230" w:rsidRDefault="00CD4230" w:rsidP="008244D7">
      <w:pPr>
        <w:rPr>
          <w:rFonts w:cstheme="minorHAnsi"/>
        </w:rPr>
      </w:pPr>
    </w:p>
    <w:p w:rsidR="00CD4230" w:rsidRDefault="00CD4230" w:rsidP="008244D7">
      <w:pPr>
        <w:rPr>
          <w:rFonts w:cstheme="minorHAnsi"/>
        </w:rPr>
      </w:pPr>
    </w:p>
    <w:p w:rsidR="008B234E" w:rsidRPr="00EF4334" w:rsidRDefault="008B234E" w:rsidP="008244D7">
      <w:pPr>
        <w:rPr>
          <w:rFonts w:cstheme="minorHAnsi"/>
        </w:rPr>
      </w:pPr>
    </w:p>
    <w:p w:rsidR="002016D4" w:rsidRPr="00EF4334" w:rsidRDefault="002016D4" w:rsidP="00EF4334">
      <w:pPr>
        <w:ind w:firstLine="426"/>
        <w:rPr>
          <w:rFonts w:cstheme="minorHAnsi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389F8FD0" wp14:editId="5C5CF494">
            <wp:extent cx="2540203" cy="999591"/>
            <wp:effectExtent l="0" t="0" r="0" b="0"/>
            <wp:docPr id="1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cstheme="minorHAnsi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E4271E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Office of the Premier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198"/>
        <w:gridCol w:w="2835"/>
        <w:gridCol w:w="1134"/>
        <w:gridCol w:w="1701"/>
        <w:gridCol w:w="1134"/>
        <w:gridCol w:w="1559"/>
        <w:gridCol w:w="1276"/>
        <w:gridCol w:w="1701"/>
      </w:tblGrid>
      <w:tr w:rsidR="008B234E" w:rsidRPr="008B234E" w:rsidTr="00060D60">
        <w:trPr>
          <w:trHeight w:val="290"/>
          <w:tblHeader/>
        </w:trPr>
        <w:tc>
          <w:tcPr>
            <w:tcW w:w="1341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8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693" w:type="dxa"/>
            <w:gridSpan w:val="2"/>
            <w:shd w:val="clear" w:color="F0E68C" w:fill="F0E68C"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977" w:type="dxa"/>
            <w:gridSpan w:val="2"/>
            <w:shd w:val="clear" w:color="B0C4DE" w:fill="B0C4DE"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8B234E" w:rsidRPr="008B234E" w:rsidTr="00060D60">
        <w:trPr>
          <w:trHeight w:val="290"/>
          <w:tblHeader/>
        </w:trPr>
        <w:tc>
          <w:tcPr>
            <w:tcW w:w="1341" w:type="dxa"/>
            <w:shd w:val="clear" w:color="FF6E21" w:fill="FF6E21"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2198" w:type="dxa"/>
            <w:shd w:val="clear" w:color="FF6E21" w:fill="FF6E21"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060D60" w:rsidRDefault="008B234E" w:rsidP="00060D6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060D60" w:rsidRDefault="008B234E" w:rsidP="00060D6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8B234E" w:rsidRPr="00060D60" w:rsidRDefault="008B234E" w:rsidP="00060D6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559" w:type="dxa"/>
            <w:shd w:val="clear" w:color="FF6E21" w:fill="FF6E21"/>
            <w:vAlign w:val="center"/>
            <w:hideMark/>
          </w:tcPr>
          <w:p w:rsidR="008B234E" w:rsidRPr="00060D60" w:rsidRDefault="008B234E" w:rsidP="00060D6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276" w:type="dxa"/>
            <w:shd w:val="clear" w:color="FF6E21" w:fill="FF6E21"/>
            <w:vAlign w:val="center"/>
            <w:hideMark/>
          </w:tcPr>
          <w:p w:rsidR="008B234E" w:rsidRPr="00060D60" w:rsidRDefault="008B234E" w:rsidP="00060D6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8B234E" w:rsidRPr="00060D60" w:rsidRDefault="008B234E" w:rsidP="00060D60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060D60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8B234E" w:rsidRPr="008B234E" w:rsidTr="00060D60">
        <w:trPr>
          <w:trHeight w:val="625"/>
        </w:trPr>
        <w:tc>
          <w:tcPr>
            <w:tcW w:w="1341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 Administration</w:t>
            </w:r>
          </w:p>
        </w:tc>
        <w:tc>
          <w:tcPr>
            <w:tcW w:w="2198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Office of the Director General: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system generated results of financial disclosure for all designated categories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8B234E" w:rsidRPr="008B234E" w:rsidTr="00060D60">
        <w:trPr>
          <w:trHeight w:val="379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Security and Records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quarterly security threat assessment reports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357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quarterly Provincial Anti-Corruption programmes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618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Provincial Council on AIDS-Secretariat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districts supported in the establishment of Local  and Ward AIDS Councils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373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stakeholder engagements coordinated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060D60">
        <w:trPr>
          <w:trHeight w:val="634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Executive Council Support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consolidated reports on the Executive Council and Cluster Engagements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531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Stakeholder Management.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stakeholder engagements coordinated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</w:tr>
      <w:tr w:rsidR="008B234E" w:rsidRPr="008B234E" w:rsidTr="00060D60">
        <w:trPr>
          <w:trHeight w:val="412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protocol services rendered in the province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</w:t>
            </w:r>
          </w:p>
        </w:tc>
      </w:tr>
      <w:tr w:rsidR="008B234E" w:rsidRPr="008B234E" w:rsidTr="00060D60">
        <w:trPr>
          <w:trHeight w:val="389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1.4 Financial Management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Percentage of uncontested invoices paid within 30 days of receipt date 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100</w:t>
            </w:r>
          </w:p>
        </w:tc>
      </w:tr>
      <w:tr w:rsidR="008B234E" w:rsidRPr="008B234E" w:rsidTr="00060D60">
        <w:trPr>
          <w:trHeight w:val="650"/>
        </w:trPr>
        <w:tc>
          <w:tcPr>
            <w:tcW w:w="1341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Percentage on preferential procurement spend on enterprises owned by targeted groups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84.67</w:t>
            </w:r>
          </w:p>
        </w:tc>
      </w:tr>
      <w:tr w:rsidR="008B234E" w:rsidRPr="008B234E" w:rsidTr="00060D60">
        <w:trPr>
          <w:trHeight w:val="702"/>
        </w:trPr>
        <w:tc>
          <w:tcPr>
            <w:tcW w:w="1341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 Institutional Development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2.1.1 Human Resource Administration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on the management of vacancies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244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 monitoring reports on provincial compliance to HRA related norms and standards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060D60">
        <w:trPr>
          <w:trHeight w:val="422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2.1.2.Human Resource Strategy and Transversal Co-ordination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HRD Stakeholder co-ordination Reports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8B234E" w:rsidRPr="008B234E" w:rsidTr="00060D60">
        <w:trPr>
          <w:trHeight w:val="603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2.1.3. Performance Management and Capacity Development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Provincial compliance reports on the implementation of PMDS provincially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060D60">
        <w:trPr>
          <w:trHeight w:val="782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2.1.4.Provincial HR Planning, Organisational and Operations 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on the implementation of the approved Provincial Organisational Design Strategy.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596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on compliance of provincial departments with the 2021 HR Planning Directive.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060D60">
        <w:trPr>
          <w:trHeight w:val="777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on compliance of provincial departments with the 2014 Directive on PSA and PSR delegations.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463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2.1.5. Labour Relations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quarterly FOSAD reports submitted to DPSA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413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labour related advocacy conducted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2.1.6. Employee Health and Wellness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policy support learning network sessions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102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health prevention programmes facilitated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  <w:tr w:rsidR="008B234E" w:rsidRPr="008B234E" w:rsidTr="00060D60">
        <w:trPr>
          <w:trHeight w:val="383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e-Health prevention information 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2.2. Information Communication Technology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departmental ICT documents (Policies, Charters, Plans, Frameworks, Manuals and Strategies) reviewed in the Office of the Premier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669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departmental services e-enabled, based on the Service Delivery Model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060D60">
        <w:trPr>
          <w:trHeight w:val="551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provincial workshops hosted on information security and privacy protection responsibilities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731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Northern Cape Provincial Government Departments websites reviewed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415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on the Provincial ICT Projects coordinated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393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</w:t>
            </w:r>
            <w:proofErr w:type="spellStart"/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Thusong</w:t>
            </w:r>
            <w:proofErr w:type="spellEnd"/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Service Centre Outreach Programmes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513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2.3. State Law Advisory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submitted on legal assistance provided to Municipalities in the Province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551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analytical reports in coordination of provincial legal services matters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589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submitted on the provision of legal support to NCPA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reports on legal assistance provided to and on behalf of the Executive Council, Premier and members of the Executive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515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2.4. Communication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Media Communication reports on Executive Council initiatives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2.5. Provincial Transformation Programmes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engagements on the implementation of the Charter of Positive Values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060D60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Number of consolidated reports on the implementation of the Provincial Plan on Gender Based  Violence and </w:t>
            </w:r>
            <w:proofErr w:type="spellStart"/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Femicide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683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monitoring reports on the implementation of Sanitary Dignity Framework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281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monitoring reports on Children’s Rights Delivery Plans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685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consolidated reports on the implementation of the GRBPMEA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060D60">
        <w:trPr>
          <w:trHeight w:val="411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Advocacy Programmes coordinated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060D60">
        <w:trPr>
          <w:trHeight w:val="659"/>
        </w:trPr>
        <w:tc>
          <w:tcPr>
            <w:tcW w:w="1341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3 Policy and Governance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8B234E" w:rsidRPr="00060D60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3.1. Provincial Performance Monitoring and Evaluation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integrated M&amp;E analysis reports on provincial service delivery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Bi Annual reports on the co-ordination of Evaluations as per the National Evaluation Policy Framework (NEPF)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3.2.1. Provincial Strategic and Spatial Planning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Advisory Memorandums submitted to the Executive Authority on the implementation  of the Provincial Growth and Development Plan and Provincial Spatial Development Framework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8B234E" w:rsidRPr="008B234E" w:rsidTr="00060D60">
        <w:trPr>
          <w:trHeight w:val="605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3.2.2. Provincial Policy Coordination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assessments of Provincial and Municipal Policies aligned to the PGDP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8B234E" w:rsidRPr="008B234E" w:rsidTr="00060D60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060D60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3.2.3. Provincial Research and Development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8B234E" w:rsidRPr="008B234E" w:rsidRDefault="008B234E" w:rsidP="008B234E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Research position papers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8B234E" w:rsidRPr="008B234E" w:rsidRDefault="008B234E" w:rsidP="00C4178A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8B234E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</w:tr>
    </w:tbl>
    <w:p w:rsidR="002016D4" w:rsidRPr="00EF4334" w:rsidRDefault="002016D4" w:rsidP="002016D4">
      <w:pPr>
        <w:ind w:left="3600" w:hanging="3600"/>
        <w:rPr>
          <w:rFonts w:eastAsia="Times New Roman" w:cstheme="minorHAnsi"/>
          <w:color w:val="FF6E21"/>
          <w:sz w:val="24"/>
          <w:szCs w:val="24"/>
        </w:rPr>
      </w:pPr>
    </w:p>
    <w:p w:rsidR="002016D4" w:rsidRPr="00EF4334" w:rsidRDefault="004C73B3" w:rsidP="001C0CE1">
      <w:pPr>
        <w:rPr>
          <w:rFonts w:cstheme="minorHAnsi"/>
        </w:rPr>
      </w:pPr>
      <w:r w:rsidRPr="00EF4334">
        <w:rPr>
          <w:rFonts w:cstheme="minorHAnsi"/>
        </w:rPr>
        <w:br w:type="page"/>
      </w:r>
      <w:r w:rsidRPr="00EF4334">
        <w:rPr>
          <w:rFonts w:cstheme="minorHAnsi"/>
          <w:b/>
          <w:sz w:val="24"/>
          <w:szCs w:val="24"/>
        </w:rPr>
        <w:lastRenderedPageBreak/>
        <w:t>Pilot Public Entities</w:t>
      </w:r>
    </w:p>
    <w:p w:rsidR="004C73B3" w:rsidRPr="00EF4334" w:rsidRDefault="004C73B3" w:rsidP="005C5F5C">
      <w:pPr>
        <w:ind w:firstLine="426"/>
        <w:rPr>
          <w:rFonts w:cstheme="minorHAnsi"/>
          <w:b/>
        </w:rPr>
      </w:pPr>
      <w:r w:rsidRPr="00EF4334">
        <w:rPr>
          <w:rFonts w:cstheme="minorHAnsi"/>
          <w:noProof/>
        </w:rPr>
        <w:drawing>
          <wp:inline distT="0" distB="0" distL="0" distR="0" wp14:anchorId="2F93672D" wp14:editId="44E9FF71">
            <wp:extent cx="2540203" cy="999591"/>
            <wp:effectExtent l="0" t="0" r="0" b="0"/>
            <wp:docPr id="1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5C5F5C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>Economic Development Agency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319"/>
        <w:gridCol w:w="2835"/>
        <w:gridCol w:w="1134"/>
        <w:gridCol w:w="1701"/>
        <w:gridCol w:w="1134"/>
        <w:gridCol w:w="1559"/>
        <w:gridCol w:w="1134"/>
        <w:gridCol w:w="1843"/>
      </w:tblGrid>
      <w:tr w:rsidR="00C8653F" w:rsidRPr="00C8653F" w:rsidTr="002C76D7">
        <w:trPr>
          <w:trHeight w:val="290"/>
          <w:tblHeader/>
        </w:trPr>
        <w:tc>
          <w:tcPr>
            <w:tcW w:w="1220" w:type="dxa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9" w:type="dxa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693" w:type="dxa"/>
            <w:gridSpan w:val="2"/>
            <w:shd w:val="clear" w:color="F0E68C" w:fill="F0E68C"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977" w:type="dxa"/>
            <w:gridSpan w:val="2"/>
            <w:shd w:val="clear" w:color="B0C4DE" w:fill="B0C4DE"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C8653F" w:rsidRPr="00C8653F" w:rsidTr="002C76D7">
        <w:trPr>
          <w:trHeight w:val="290"/>
          <w:tblHeader/>
        </w:trPr>
        <w:tc>
          <w:tcPr>
            <w:tcW w:w="1220" w:type="dxa"/>
            <w:shd w:val="clear" w:color="FF6E21" w:fill="FF6E21"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2319" w:type="dxa"/>
            <w:shd w:val="clear" w:color="FF6E21" w:fill="FF6E21"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C8653F" w:rsidRPr="002C76D7" w:rsidRDefault="00C8653F" w:rsidP="002C76D7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C8653F" w:rsidRPr="002C76D7" w:rsidRDefault="00C8653F" w:rsidP="002C76D7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C8653F" w:rsidRPr="002C76D7" w:rsidRDefault="00C8653F" w:rsidP="002C76D7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559" w:type="dxa"/>
            <w:shd w:val="clear" w:color="FF6E21" w:fill="FF6E21"/>
            <w:vAlign w:val="center"/>
            <w:hideMark/>
          </w:tcPr>
          <w:p w:rsidR="00C8653F" w:rsidRPr="002C76D7" w:rsidRDefault="00C8653F" w:rsidP="002C76D7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C8653F" w:rsidRPr="002C76D7" w:rsidRDefault="00C8653F" w:rsidP="002C76D7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843" w:type="dxa"/>
            <w:shd w:val="clear" w:color="FF6E21" w:fill="FF6E21"/>
            <w:vAlign w:val="center"/>
            <w:hideMark/>
          </w:tcPr>
          <w:p w:rsidR="00C8653F" w:rsidRPr="002C76D7" w:rsidRDefault="00C8653F" w:rsidP="002C76D7">
            <w:pPr>
              <w:spacing w:after="0" w:line="240" w:lineRule="auto"/>
              <w:jc w:val="center"/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</w:pPr>
            <w:r w:rsidRPr="002C76D7">
              <w:rPr>
                <w:rFonts w:eastAsia="Times New Roman" w:cs="Segoe UI Semibold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C8653F" w:rsidRPr="00C8653F" w:rsidTr="002C76D7">
        <w:trPr>
          <w:trHeight w:val="377"/>
        </w:trPr>
        <w:tc>
          <w:tcPr>
            <w:tcW w:w="1220" w:type="dxa"/>
            <w:vMerge w:val="restart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Shared Services</w:t>
            </w:r>
          </w:p>
        </w:tc>
        <w:tc>
          <w:tcPr>
            <w:tcW w:w="2319" w:type="dxa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1.1: Office of the CEO</w:t>
            </w: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Governance reports submitted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C8653F" w:rsidRPr="00C8653F" w:rsidTr="002C76D7">
        <w:trPr>
          <w:trHeight w:val="341"/>
        </w:trPr>
        <w:tc>
          <w:tcPr>
            <w:tcW w:w="1220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319" w:type="dxa"/>
            <w:vMerge w:val="restart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1.2: Office of the CFO</w:t>
            </w: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financial compliance documents submitted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319"/>
        </w:trPr>
        <w:tc>
          <w:tcPr>
            <w:tcW w:w="1220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2C76D7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Financial Reports su</w:t>
            </w: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bmitted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4</w:t>
            </w:r>
          </w:p>
        </w:tc>
      </w:tr>
      <w:tr w:rsidR="00C8653F" w:rsidRPr="00C8653F" w:rsidTr="002C76D7">
        <w:trPr>
          <w:trHeight w:val="155"/>
        </w:trPr>
        <w:tc>
          <w:tcPr>
            <w:tcW w:w="1220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Balanced assets register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</w:p>
        </w:tc>
      </w:tr>
      <w:tr w:rsidR="00C8653F" w:rsidRPr="00C8653F" w:rsidTr="002C76D7">
        <w:trPr>
          <w:trHeight w:val="357"/>
        </w:trPr>
        <w:tc>
          <w:tcPr>
            <w:tcW w:w="1220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319" w:type="dxa"/>
            <w:vMerge w:val="restart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1.3: Corporate Services</w:t>
            </w: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Human Planning reports submitted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463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Quarterly report on legal and labour matters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427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ICT reports to support NCEDA operations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391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Number of occupational health and safety reports submitted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</w: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443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Institutional Security and Safety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124"/>
        </w:trPr>
        <w:tc>
          <w:tcPr>
            <w:tcW w:w="1220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319" w:type="dxa"/>
            <w:vMerge w:val="restart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Sub-Programme 1.4: Risk Management and Internal Audit</w:t>
            </w: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Risk register updated quarterly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244"/>
        </w:trPr>
        <w:tc>
          <w:tcPr>
            <w:tcW w:w="1220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Quarterly report on risk management within the institution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480"/>
        </w:trPr>
        <w:tc>
          <w:tcPr>
            <w:tcW w:w="1220" w:type="dxa"/>
            <w:vMerge w:val="restart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4: Business Management Unit</w:t>
            </w:r>
          </w:p>
        </w:tc>
        <w:tc>
          <w:tcPr>
            <w:tcW w:w="2319" w:type="dxa"/>
            <w:vMerge w:val="restart"/>
            <w:shd w:val="clear" w:color="auto" w:fill="auto"/>
            <w:hideMark/>
          </w:tcPr>
          <w:p w:rsidR="00C8653F" w:rsidRPr="002C76D7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Sub-Programme 4.1: </w:t>
            </w:r>
            <w:proofErr w:type="spellStart"/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Mittha</w:t>
            </w:r>
            <w:proofErr w:type="spellEnd"/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</w:t>
            </w:r>
            <w:proofErr w:type="spellStart"/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Seperepere</w:t>
            </w:r>
            <w:proofErr w:type="spellEnd"/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International Convention Centre</w:t>
            </w: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Revenue generated from </w:t>
            </w:r>
            <w:proofErr w:type="spellStart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Mittah</w:t>
            </w:r>
            <w:proofErr w:type="spellEnd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</w:t>
            </w:r>
            <w:proofErr w:type="spellStart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Seperepere</w:t>
            </w:r>
            <w:proofErr w:type="spellEnd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Activities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450000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940159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450000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430210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450000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438 300</w:t>
            </w:r>
          </w:p>
        </w:tc>
      </w:tr>
      <w:tr w:rsidR="00C8653F" w:rsidRPr="00C8653F" w:rsidTr="002C76D7">
        <w:trPr>
          <w:trHeight w:val="480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Marketing MSICC as world class Convention Centre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244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Infrastructure maintenance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480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 w:val="restart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Sub-Programme 4.2: </w:t>
            </w:r>
            <w:proofErr w:type="spellStart"/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Witsand</w:t>
            </w:r>
            <w:proofErr w:type="spellEnd"/>
            <w:r w:rsidRPr="002C76D7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 xml:space="preserve"> Nature Reserve</w:t>
            </w: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Revenue generated from </w:t>
            </w:r>
            <w:proofErr w:type="spellStart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Witsand</w:t>
            </w:r>
            <w:proofErr w:type="spellEnd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activities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650000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582178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650000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525924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650000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530 344</w:t>
            </w:r>
          </w:p>
        </w:tc>
      </w:tr>
      <w:tr w:rsidR="00C8653F" w:rsidRPr="00C8653F" w:rsidTr="002C76D7">
        <w:trPr>
          <w:trHeight w:val="480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Promote </w:t>
            </w:r>
            <w:proofErr w:type="spellStart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Witsand</w:t>
            </w:r>
            <w:proofErr w:type="spellEnd"/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as world class nature reserve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  <w:tr w:rsidR="00C8653F" w:rsidRPr="00C8653F" w:rsidTr="002C76D7">
        <w:trPr>
          <w:trHeight w:val="363"/>
        </w:trPr>
        <w:tc>
          <w:tcPr>
            <w:tcW w:w="1220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319" w:type="dxa"/>
            <w:vMerge/>
            <w:vAlign w:val="center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C8653F" w:rsidRPr="00C8653F" w:rsidRDefault="00C8653F" w:rsidP="00C8653F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 xml:space="preserve"> Infrastructure maintenance reports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C8653F" w:rsidRPr="00C8653F" w:rsidRDefault="00C8653F" w:rsidP="002C76D7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C8653F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br/>
              <w:t>1</w:t>
            </w:r>
          </w:p>
        </w:tc>
      </w:tr>
    </w:tbl>
    <w:p w:rsidR="004C73B3" w:rsidRPr="00EF4334" w:rsidRDefault="004C73B3">
      <w:pPr>
        <w:rPr>
          <w:rFonts w:cstheme="minorHAnsi"/>
          <w:b/>
        </w:rPr>
      </w:pPr>
      <w:r w:rsidRPr="00EF4334">
        <w:rPr>
          <w:rFonts w:cstheme="minorHAnsi"/>
          <w:b/>
        </w:rPr>
        <w:br w:type="page"/>
      </w:r>
    </w:p>
    <w:p w:rsidR="00161EF9" w:rsidRDefault="00161EF9" w:rsidP="00EF4334">
      <w:pPr>
        <w:ind w:firstLine="426"/>
        <w:rPr>
          <w:rFonts w:eastAsia="Times New Roman" w:cstheme="minorHAnsi"/>
          <w:b/>
          <w:color w:val="FF6E21"/>
          <w:sz w:val="24"/>
          <w:szCs w:val="24"/>
        </w:rPr>
      </w:pPr>
      <w:r w:rsidRPr="00EF4334">
        <w:rPr>
          <w:rFonts w:cstheme="minorHAnsi"/>
          <w:noProof/>
        </w:rPr>
        <w:lastRenderedPageBreak/>
        <w:drawing>
          <wp:inline distT="0" distB="0" distL="0" distR="0" wp14:anchorId="028DEFC9" wp14:editId="1A34989C">
            <wp:extent cx="2540203" cy="999591"/>
            <wp:effectExtent l="0" t="0" r="0" b="0"/>
            <wp:docPr id="1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203" cy="99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QPR for </w:t>
      </w:r>
      <w:r w:rsidR="005C5F5C">
        <w:rPr>
          <w:rFonts w:eastAsia="Times New Roman" w:cstheme="minorHAnsi"/>
          <w:b/>
          <w:color w:val="FF6E21"/>
          <w:sz w:val="24"/>
          <w:szCs w:val="24"/>
        </w:rPr>
        <w:t>FY 2023-24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for </w:t>
      </w:r>
      <w:r w:rsidRPr="00EF4334">
        <w:rPr>
          <w:rFonts w:eastAsia="Times New Roman" w:cstheme="minorHAnsi"/>
          <w:b/>
          <w:color w:val="FF6E21"/>
          <w:sz w:val="24"/>
          <w:szCs w:val="24"/>
        </w:rPr>
        <w:t xml:space="preserve">Provincial </w:t>
      </w:r>
      <w:r w:rsidRPr="00EF4334">
        <w:rPr>
          <w:rFonts w:eastAsia="Times New Roman" w:cstheme="minorHAnsi"/>
          <w:b/>
          <w:color w:val="006400"/>
          <w:sz w:val="24"/>
          <w:szCs w:val="24"/>
        </w:rPr>
        <w:t xml:space="preserve">Institution of </w:t>
      </w:r>
      <w:r w:rsidR="00591A15">
        <w:rPr>
          <w:rFonts w:eastAsia="Times New Roman" w:cstheme="minorHAnsi"/>
          <w:b/>
          <w:color w:val="FF6E21"/>
          <w:sz w:val="24"/>
          <w:szCs w:val="24"/>
        </w:rPr>
        <w:t>Tourism Authority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2198"/>
        <w:gridCol w:w="2835"/>
        <w:gridCol w:w="1134"/>
        <w:gridCol w:w="1701"/>
        <w:gridCol w:w="1134"/>
        <w:gridCol w:w="1701"/>
        <w:gridCol w:w="1134"/>
        <w:gridCol w:w="1701"/>
      </w:tblGrid>
      <w:tr w:rsidR="009A79BC" w:rsidRPr="009A79BC" w:rsidTr="009A79BC">
        <w:trPr>
          <w:trHeight w:val="290"/>
          <w:tblHeader/>
        </w:trPr>
        <w:tc>
          <w:tcPr>
            <w:tcW w:w="134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8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gridSpan w:val="2"/>
            <w:shd w:val="clear" w:color="90EE90" w:fill="90EE90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- 1</w:t>
            </w:r>
          </w:p>
        </w:tc>
        <w:tc>
          <w:tcPr>
            <w:tcW w:w="2835" w:type="dxa"/>
            <w:gridSpan w:val="2"/>
            <w:shd w:val="clear" w:color="F0E68C" w:fill="F0E68C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- 2</w:t>
            </w:r>
          </w:p>
        </w:tc>
        <w:tc>
          <w:tcPr>
            <w:tcW w:w="2835" w:type="dxa"/>
            <w:gridSpan w:val="2"/>
            <w:shd w:val="clear" w:color="B0C4DE" w:fill="B0C4DE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Quarter - 3</w:t>
            </w:r>
          </w:p>
        </w:tc>
      </w:tr>
      <w:tr w:rsidR="009A79BC" w:rsidRPr="009A79BC" w:rsidTr="009A79BC">
        <w:trPr>
          <w:trHeight w:val="290"/>
          <w:tblHeader/>
        </w:trPr>
        <w:tc>
          <w:tcPr>
            <w:tcW w:w="1341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Programme</w:t>
            </w:r>
          </w:p>
        </w:tc>
        <w:tc>
          <w:tcPr>
            <w:tcW w:w="2198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Sub Programme</w:t>
            </w:r>
          </w:p>
        </w:tc>
        <w:tc>
          <w:tcPr>
            <w:tcW w:w="2835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Indicator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Q1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 Q1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Q2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Q2</w:t>
            </w:r>
          </w:p>
        </w:tc>
        <w:tc>
          <w:tcPr>
            <w:tcW w:w="1134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Target Q3</w:t>
            </w:r>
          </w:p>
        </w:tc>
        <w:tc>
          <w:tcPr>
            <w:tcW w:w="1701" w:type="dxa"/>
            <w:shd w:val="clear" w:color="FF6E21" w:fill="FF6E21"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</w:pPr>
            <w:r w:rsidRPr="009A79B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</w:rPr>
              <w:t>Actual Output Q3</w:t>
            </w:r>
          </w:p>
        </w:tc>
      </w:tr>
      <w:tr w:rsidR="009A79BC" w:rsidRPr="009A79BC" w:rsidTr="009A79BC">
        <w:trPr>
          <w:trHeight w:val="483"/>
        </w:trPr>
        <w:tc>
          <w:tcPr>
            <w:tcW w:w="1341" w:type="dxa"/>
            <w:vMerge w:val="restart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Administration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1:  Administration</w:t>
            </w: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staff trained in key areas of development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9A79BC" w:rsidRPr="009A79BC" w:rsidTr="009A79BC">
        <w:trPr>
          <w:trHeight w:val="264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HR Sessions held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9A79BC" w:rsidRPr="009A79BC" w:rsidTr="009A79BC">
        <w:trPr>
          <w:trHeight w:val="565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Convene and attend Provincial Stakeholder engagements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</w:tr>
      <w:tr w:rsidR="009A79BC" w:rsidRPr="009A79BC" w:rsidTr="009A79BC">
        <w:trPr>
          <w:trHeight w:val="960"/>
        </w:trPr>
        <w:tc>
          <w:tcPr>
            <w:tcW w:w="1341" w:type="dxa"/>
            <w:vMerge w:val="restart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Destination Marketing and Promotion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b/>
                <w:bCs/>
                <w:color w:val="548DD4" w:themeColor="text2" w:themeTint="99"/>
                <w:sz w:val="18"/>
                <w:szCs w:val="18"/>
              </w:rPr>
              <w:t>Programme 2:  Destination Marketing and Promotion</w:t>
            </w: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Marketing Campaigns to promote the destination in identified international markets targeting consumers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9A79BC" w:rsidRPr="009A79BC" w:rsidTr="009A79BC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Marketing Campaigns to promote the destination in identified international markets targeting trade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9A79BC" w:rsidRPr="009A79BC" w:rsidTr="009A79BC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Marketing Campaigns to promote the destination in identified domestic markets targeting consumers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9A79BC" w:rsidRPr="009A79BC" w:rsidTr="009A79BC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Marketing Campaigns to promote the destination in identified domestic markets targeting trade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9A79BC" w:rsidRPr="009A79BC" w:rsidTr="009A79BC">
        <w:trPr>
          <w:trHeight w:val="960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Marketing Campaigns to promote the destination as a competitive business events destination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9A79BC" w:rsidRPr="009A79BC" w:rsidTr="009A79BC">
        <w:trPr>
          <w:trHeight w:val="386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Bids Supported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</w:tr>
      <w:tr w:rsidR="009A79BC" w:rsidRPr="009A79BC" w:rsidTr="009A79BC">
        <w:trPr>
          <w:trHeight w:val="419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Number of Business Events Supported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</w:t>
            </w:r>
          </w:p>
        </w:tc>
      </w:tr>
      <w:tr w:rsidR="009A79BC" w:rsidRPr="009A79BC" w:rsidTr="009A79BC">
        <w:trPr>
          <w:trHeight w:val="241"/>
        </w:trPr>
        <w:tc>
          <w:tcPr>
            <w:tcW w:w="1341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b/>
                <w:bCs/>
                <w:color w:val="4C68A2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Increase visitor attendance at provincial events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5978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12304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5980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37676</w:t>
            </w:r>
          </w:p>
        </w:tc>
        <w:tc>
          <w:tcPr>
            <w:tcW w:w="1134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5978</w:t>
            </w:r>
          </w:p>
        </w:tc>
        <w:tc>
          <w:tcPr>
            <w:tcW w:w="1701" w:type="dxa"/>
            <w:shd w:val="clear" w:color="auto" w:fill="auto"/>
            <w:hideMark/>
          </w:tcPr>
          <w:p w:rsidR="009A79BC" w:rsidRPr="009A79BC" w:rsidRDefault="009A79BC" w:rsidP="009A79BC">
            <w:pPr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</w:pPr>
            <w:r w:rsidRPr="009A79BC">
              <w:rPr>
                <w:rFonts w:ascii="Calibri" w:eastAsia="Times New Roman" w:hAnsi="Calibri" w:cs="Calibri"/>
                <w:color w:val="4D4D4D"/>
                <w:sz w:val="18"/>
                <w:szCs w:val="18"/>
              </w:rPr>
              <w:t>7383</w:t>
            </w:r>
          </w:p>
        </w:tc>
      </w:tr>
    </w:tbl>
    <w:p w:rsidR="001C0CE1" w:rsidRPr="00EF4334" w:rsidRDefault="001C0CE1" w:rsidP="001C0CE1">
      <w:pPr>
        <w:pStyle w:val="Footer"/>
        <w:rPr>
          <w:rFonts w:cstheme="minorHAnsi"/>
          <w:b/>
          <w:sz w:val="24"/>
          <w:szCs w:val="24"/>
        </w:rPr>
      </w:pPr>
    </w:p>
    <w:p w:rsidR="001C0CE1" w:rsidRPr="00EF4334" w:rsidRDefault="001C0CE1" w:rsidP="001C0CE1">
      <w:pPr>
        <w:pStyle w:val="Footer"/>
        <w:rPr>
          <w:rFonts w:cstheme="minorHAnsi"/>
          <w:sz w:val="18"/>
          <w:szCs w:val="18"/>
        </w:rPr>
      </w:pPr>
      <w:r w:rsidRPr="00EF4334">
        <w:rPr>
          <w:rFonts w:cstheme="minorHAnsi"/>
          <w:b/>
          <w:sz w:val="24"/>
          <w:szCs w:val="24"/>
        </w:rPr>
        <w:t>*</w:t>
      </w:r>
      <w:r w:rsidRPr="00EF4334">
        <w:rPr>
          <w:rFonts w:cstheme="minorHAnsi"/>
        </w:rPr>
        <w:t xml:space="preserve"> </w:t>
      </w:r>
      <w:r w:rsidRPr="00EF4334">
        <w:rPr>
          <w:rFonts w:cstheme="minorHAnsi"/>
          <w:i/>
          <w:sz w:val="18"/>
          <w:szCs w:val="18"/>
        </w:rPr>
        <w:t>Annual indicators are only reported on in the 4th quarter and will not be reflected in t</w:t>
      </w:r>
      <w:r w:rsidR="00436869">
        <w:rPr>
          <w:rFonts w:cstheme="minorHAnsi"/>
          <w:i/>
          <w:sz w:val="18"/>
          <w:szCs w:val="18"/>
        </w:rPr>
        <w:t>he performance data of quarter 3</w:t>
      </w:r>
      <w:bookmarkStart w:id="0" w:name="_GoBack"/>
      <w:bookmarkEnd w:id="0"/>
    </w:p>
    <w:p w:rsidR="001C0CE1" w:rsidRPr="00EF4334" w:rsidRDefault="001C0CE1" w:rsidP="001C0CE1">
      <w:pPr>
        <w:pStyle w:val="ListParagraph"/>
        <w:ind w:left="0"/>
        <w:rPr>
          <w:rFonts w:cstheme="minorHAnsi"/>
          <w:b/>
          <w:sz w:val="24"/>
          <w:szCs w:val="24"/>
        </w:rPr>
      </w:pPr>
    </w:p>
    <w:p w:rsidR="00161EF9" w:rsidRPr="00EF4334" w:rsidRDefault="00161EF9" w:rsidP="001C0CE1">
      <w:pPr>
        <w:rPr>
          <w:rFonts w:cstheme="minorHAnsi"/>
          <w:b/>
        </w:rPr>
      </w:pPr>
    </w:p>
    <w:sectPr w:rsidR="00161EF9" w:rsidRPr="00EF4334" w:rsidSect="005B70FB">
      <w:footerReference w:type="default" r:id="rId10"/>
      <w:pgSz w:w="16838" w:h="11906" w:orient="landscape" w:code="9"/>
      <w:pgMar w:top="709" w:right="720" w:bottom="212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05" w:rsidRDefault="001E7905" w:rsidP="00D62403">
      <w:pPr>
        <w:spacing w:after="0" w:line="240" w:lineRule="auto"/>
      </w:pPr>
      <w:r>
        <w:separator/>
      </w:r>
    </w:p>
  </w:endnote>
  <w:endnote w:type="continuationSeparator" w:id="0">
    <w:p w:rsidR="001E7905" w:rsidRDefault="001E7905" w:rsidP="00D6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258" w:rsidRPr="00546093" w:rsidRDefault="00E64258" w:rsidP="00546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05" w:rsidRDefault="001E7905" w:rsidP="00D62403">
      <w:pPr>
        <w:spacing w:after="0" w:line="240" w:lineRule="auto"/>
      </w:pPr>
      <w:r>
        <w:separator/>
      </w:r>
    </w:p>
  </w:footnote>
  <w:footnote w:type="continuationSeparator" w:id="0">
    <w:p w:rsidR="001E7905" w:rsidRDefault="001E7905" w:rsidP="00D6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94F"/>
    <w:multiLevelType w:val="hybridMultilevel"/>
    <w:tmpl w:val="F272B2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9771EB"/>
    <w:multiLevelType w:val="hybridMultilevel"/>
    <w:tmpl w:val="12B4E37A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781465"/>
    <w:multiLevelType w:val="hybridMultilevel"/>
    <w:tmpl w:val="4594C25A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E51B5"/>
    <w:multiLevelType w:val="hybridMultilevel"/>
    <w:tmpl w:val="B928DC0C"/>
    <w:lvl w:ilvl="0" w:tplc="6A90A104">
      <w:start w:val="82"/>
      <w:numFmt w:val="bullet"/>
      <w:lvlText w:val=""/>
      <w:lvlJc w:val="left"/>
      <w:pPr>
        <w:ind w:left="460" w:hanging="360"/>
      </w:pPr>
      <w:rPr>
        <w:rFonts w:ascii="Symbol" w:eastAsiaTheme="minorEastAsia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65B06DB5"/>
    <w:multiLevelType w:val="hybridMultilevel"/>
    <w:tmpl w:val="4FC842B8"/>
    <w:lvl w:ilvl="0" w:tplc="BD029A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305AC"/>
    <w:multiLevelType w:val="hybridMultilevel"/>
    <w:tmpl w:val="E9562732"/>
    <w:lvl w:ilvl="0" w:tplc="93A47B62">
      <w:start w:val="82"/>
      <w:numFmt w:val="bullet"/>
      <w:lvlText w:val=""/>
      <w:lvlJc w:val="left"/>
      <w:pPr>
        <w:ind w:left="460" w:hanging="360"/>
      </w:pPr>
      <w:rPr>
        <w:rFonts w:ascii="Symbol" w:eastAsiaTheme="minorEastAsia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70F3732D"/>
    <w:multiLevelType w:val="hybridMultilevel"/>
    <w:tmpl w:val="CD0A908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C18CA"/>
    <w:multiLevelType w:val="hybridMultilevel"/>
    <w:tmpl w:val="4FB653A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71"/>
    <w:rsid w:val="0000438B"/>
    <w:rsid w:val="0000744A"/>
    <w:rsid w:val="00013940"/>
    <w:rsid w:val="00014DE8"/>
    <w:rsid w:val="00015996"/>
    <w:rsid w:val="00015FC3"/>
    <w:rsid w:val="0001691D"/>
    <w:rsid w:val="000248EE"/>
    <w:rsid w:val="00025A4C"/>
    <w:rsid w:val="00032096"/>
    <w:rsid w:val="00034541"/>
    <w:rsid w:val="00036B0D"/>
    <w:rsid w:val="00055895"/>
    <w:rsid w:val="00060D60"/>
    <w:rsid w:val="00077C91"/>
    <w:rsid w:val="0009313B"/>
    <w:rsid w:val="00093272"/>
    <w:rsid w:val="000C69D3"/>
    <w:rsid w:val="000E4596"/>
    <w:rsid w:val="00100B2F"/>
    <w:rsid w:val="00101C89"/>
    <w:rsid w:val="00102173"/>
    <w:rsid w:val="0010696D"/>
    <w:rsid w:val="00120408"/>
    <w:rsid w:val="00132B04"/>
    <w:rsid w:val="00132B59"/>
    <w:rsid w:val="001349E5"/>
    <w:rsid w:val="00134B5E"/>
    <w:rsid w:val="00137F3F"/>
    <w:rsid w:val="00147FEF"/>
    <w:rsid w:val="001508FD"/>
    <w:rsid w:val="001519CB"/>
    <w:rsid w:val="00161EF9"/>
    <w:rsid w:val="0016639F"/>
    <w:rsid w:val="0018712E"/>
    <w:rsid w:val="001A60B7"/>
    <w:rsid w:val="001B6B65"/>
    <w:rsid w:val="001C0CE1"/>
    <w:rsid w:val="001C4606"/>
    <w:rsid w:val="001E5F5E"/>
    <w:rsid w:val="001E7905"/>
    <w:rsid w:val="001E7F75"/>
    <w:rsid w:val="001F5D51"/>
    <w:rsid w:val="002016D4"/>
    <w:rsid w:val="00201C51"/>
    <w:rsid w:val="00205E71"/>
    <w:rsid w:val="0021324F"/>
    <w:rsid w:val="002175D2"/>
    <w:rsid w:val="0022158E"/>
    <w:rsid w:val="002311AB"/>
    <w:rsid w:val="0024500D"/>
    <w:rsid w:val="002629C2"/>
    <w:rsid w:val="00267CDB"/>
    <w:rsid w:val="00271418"/>
    <w:rsid w:val="0027159C"/>
    <w:rsid w:val="002913B7"/>
    <w:rsid w:val="002916CA"/>
    <w:rsid w:val="00291DB8"/>
    <w:rsid w:val="002B027E"/>
    <w:rsid w:val="002B7ADF"/>
    <w:rsid w:val="002C111E"/>
    <w:rsid w:val="002C1FA9"/>
    <w:rsid w:val="002C76D7"/>
    <w:rsid w:val="002E18E2"/>
    <w:rsid w:val="002E71D2"/>
    <w:rsid w:val="002F012A"/>
    <w:rsid w:val="002F089C"/>
    <w:rsid w:val="002F1EF6"/>
    <w:rsid w:val="003026B4"/>
    <w:rsid w:val="0031292A"/>
    <w:rsid w:val="00316102"/>
    <w:rsid w:val="0032529C"/>
    <w:rsid w:val="0032775F"/>
    <w:rsid w:val="003324E1"/>
    <w:rsid w:val="003401F8"/>
    <w:rsid w:val="00341078"/>
    <w:rsid w:val="0034508F"/>
    <w:rsid w:val="00345C24"/>
    <w:rsid w:val="00356AF9"/>
    <w:rsid w:val="003704ED"/>
    <w:rsid w:val="0038264B"/>
    <w:rsid w:val="003946FC"/>
    <w:rsid w:val="003A23A6"/>
    <w:rsid w:val="003A6621"/>
    <w:rsid w:val="003C0058"/>
    <w:rsid w:val="003C0B53"/>
    <w:rsid w:val="003F30BF"/>
    <w:rsid w:val="004232A4"/>
    <w:rsid w:val="0043019C"/>
    <w:rsid w:val="00431CD2"/>
    <w:rsid w:val="00436869"/>
    <w:rsid w:val="004379C3"/>
    <w:rsid w:val="00451212"/>
    <w:rsid w:val="00462064"/>
    <w:rsid w:val="00464E30"/>
    <w:rsid w:val="004718B2"/>
    <w:rsid w:val="00474556"/>
    <w:rsid w:val="00475D9B"/>
    <w:rsid w:val="00482B56"/>
    <w:rsid w:val="00491C9A"/>
    <w:rsid w:val="004A2AC8"/>
    <w:rsid w:val="004B219D"/>
    <w:rsid w:val="004B6B58"/>
    <w:rsid w:val="004C73B3"/>
    <w:rsid w:val="004E4B77"/>
    <w:rsid w:val="004F0333"/>
    <w:rsid w:val="004F645A"/>
    <w:rsid w:val="00511CB7"/>
    <w:rsid w:val="005149F1"/>
    <w:rsid w:val="0053033E"/>
    <w:rsid w:val="005377E9"/>
    <w:rsid w:val="00546093"/>
    <w:rsid w:val="00573C64"/>
    <w:rsid w:val="00591A15"/>
    <w:rsid w:val="005A766D"/>
    <w:rsid w:val="005B66EF"/>
    <w:rsid w:val="005B70FB"/>
    <w:rsid w:val="005C110A"/>
    <w:rsid w:val="005C5F5C"/>
    <w:rsid w:val="005D166B"/>
    <w:rsid w:val="005D4508"/>
    <w:rsid w:val="006023D4"/>
    <w:rsid w:val="00604E8C"/>
    <w:rsid w:val="00611D19"/>
    <w:rsid w:val="00616B1D"/>
    <w:rsid w:val="006178AB"/>
    <w:rsid w:val="0062279B"/>
    <w:rsid w:val="0062498D"/>
    <w:rsid w:val="006303D6"/>
    <w:rsid w:val="00636B3D"/>
    <w:rsid w:val="0065081E"/>
    <w:rsid w:val="00656136"/>
    <w:rsid w:val="006574C9"/>
    <w:rsid w:val="006611A0"/>
    <w:rsid w:val="00662957"/>
    <w:rsid w:val="00670A0D"/>
    <w:rsid w:val="00674BD3"/>
    <w:rsid w:val="00687C8E"/>
    <w:rsid w:val="00692DC4"/>
    <w:rsid w:val="006B532C"/>
    <w:rsid w:val="006B780B"/>
    <w:rsid w:val="006C2779"/>
    <w:rsid w:val="006C36F0"/>
    <w:rsid w:val="006C423C"/>
    <w:rsid w:val="006D4E73"/>
    <w:rsid w:val="007154C0"/>
    <w:rsid w:val="0072082D"/>
    <w:rsid w:val="00730B84"/>
    <w:rsid w:val="007545CB"/>
    <w:rsid w:val="00756E79"/>
    <w:rsid w:val="00772E85"/>
    <w:rsid w:val="00793B36"/>
    <w:rsid w:val="00796293"/>
    <w:rsid w:val="007A0C08"/>
    <w:rsid w:val="007D4009"/>
    <w:rsid w:val="007E3950"/>
    <w:rsid w:val="00810741"/>
    <w:rsid w:val="00810B64"/>
    <w:rsid w:val="00811473"/>
    <w:rsid w:val="008130A4"/>
    <w:rsid w:val="00820D89"/>
    <w:rsid w:val="008244D7"/>
    <w:rsid w:val="00827FA1"/>
    <w:rsid w:val="008401B0"/>
    <w:rsid w:val="00843BB0"/>
    <w:rsid w:val="00844C48"/>
    <w:rsid w:val="008534C1"/>
    <w:rsid w:val="0086324F"/>
    <w:rsid w:val="00863F3D"/>
    <w:rsid w:val="00865814"/>
    <w:rsid w:val="00871E90"/>
    <w:rsid w:val="008766D0"/>
    <w:rsid w:val="00885EBC"/>
    <w:rsid w:val="00887301"/>
    <w:rsid w:val="00887B93"/>
    <w:rsid w:val="008A26F0"/>
    <w:rsid w:val="008A3602"/>
    <w:rsid w:val="008B1741"/>
    <w:rsid w:val="008B234E"/>
    <w:rsid w:val="008B46AA"/>
    <w:rsid w:val="008F091C"/>
    <w:rsid w:val="008F44FB"/>
    <w:rsid w:val="00904536"/>
    <w:rsid w:val="00907B92"/>
    <w:rsid w:val="0091231F"/>
    <w:rsid w:val="00913257"/>
    <w:rsid w:val="00917DA2"/>
    <w:rsid w:val="00921308"/>
    <w:rsid w:val="009244CF"/>
    <w:rsid w:val="00925150"/>
    <w:rsid w:val="00931511"/>
    <w:rsid w:val="00931F0A"/>
    <w:rsid w:val="00932447"/>
    <w:rsid w:val="0093493F"/>
    <w:rsid w:val="00940145"/>
    <w:rsid w:val="00942D2B"/>
    <w:rsid w:val="00944980"/>
    <w:rsid w:val="009449FB"/>
    <w:rsid w:val="009458CF"/>
    <w:rsid w:val="00951094"/>
    <w:rsid w:val="0097172C"/>
    <w:rsid w:val="009A3537"/>
    <w:rsid w:val="009A79BC"/>
    <w:rsid w:val="009A79F2"/>
    <w:rsid w:val="009C0A66"/>
    <w:rsid w:val="009C6D13"/>
    <w:rsid w:val="009E23CD"/>
    <w:rsid w:val="009E5143"/>
    <w:rsid w:val="00A060A0"/>
    <w:rsid w:val="00A10A0A"/>
    <w:rsid w:val="00A11E8F"/>
    <w:rsid w:val="00A12ED9"/>
    <w:rsid w:val="00A14C94"/>
    <w:rsid w:val="00A15C8E"/>
    <w:rsid w:val="00A15E99"/>
    <w:rsid w:val="00A228AD"/>
    <w:rsid w:val="00A23C2D"/>
    <w:rsid w:val="00A47E77"/>
    <w:rsid w:val="00A62DCB"/>
    <w:rsid w:val="00A63909"/>
    <w:rsid w:val="00A67CE3"/>
    <w:rsid w:val="00A821A8"/>
    <w:rsid w:val="00A83C8F"/>
    <w:rsid w:val="00A85DB4"/>
    <w:rsid w:val="00A864C8"/>
    <w:rsid w:val="00A87D21"/>
    <w:rsid w:val="00A91D57"/>
    <w:rsid w:val="00AD08A4"/>
    <w:rsid w:val="00AE3A6B"/>
    <w:rsid w:val="00B16145"/>
    <w:rsid w:val="00B27CCF"/>
    <w:rsid w:val="00B32105"/>
    <w:rsid w:val="00B327F6"/>
    <w:rsid w:val="00B44C2B"/>
    <w:rsid w:val="00B5118F"/>
    <w:rsid w:val="00B51EA7"/>
    <w:rsid w:val="00B52DD5"/>
    <w:rsid w:val="00B57056"/>
    <w:rsid w:val="00B6121C"/>
    <w:rsid w:val="00B907DC"/>
    <w:rsid w:val="00B92952"/>
    <w:rsid w:val="00B9634F"/>
    <w:rsid w:val="00BB2443"/>
    <w:rsid w:val="00BB6D7E"/>
    <w:rsid w:val="00BC6B43"/>
    <w:rsid w:val="00BD46C3"/>
    <w:rsid w:val="00BE0E8A"/>
    <w:rsid w:val="00BE529B"/>
    <w:rsid w:val="00BF25B5"/>
    <w:rsid w:val="00BF39C3"/>
    <w:rsid w:val="00BF4844"/>
    <w:rsid w:val="00C00EC5"/>
    <w:rsid w:val="00C057DB"/>
    <w:rsid w:val="00C329B7"/>
    <w:rsid w:val="00C40401"/>
    <w:rsid w:val="00C4178A"/>
    <w:rsid w:val="00C522F8"/>
    <w:rsid w:val="00C6285A"/>
    <w:rsid w:val="00C639D9"/>
    <w:rsid w:val="00C7163D"/>
    <w:rsid w:val="00C742E2"/>
    <w:rsid w:val="00C753EE"/>
    <w:rsid w:val="00C7593F"/>
    <w:rsid w:val="00C810EF"/>
    <w:rsid w:val="00C85091"/>
    <w:rsid w:val="00C86015"/>
    <w:rsid w:val="00C8653F"/>
    <w:rsid w:val="00C97C68"/>
    <w:rsid w:val="00CA0506"/>
    <w:rsid w:val="00CA410C"/>
    <w:rsid w:val="00CA6C88"/>
    <w:rsid w:val="00CC07CE"/>
    <w:rsid w:val="00CC6852"/>
    <w:rsid w:val="00CD4230"/>
    <w:rsid w:val="00CD5118"/>
    <w:rsid w:val="00CD6CF0"/>
    <w:rsid w:val="00CE3907"/>
    <w:rsid w:val="00CE42FC"/>
    <w:rsid w:val="00D4393D"/>
    <w:rsid w:val="00D454A3"/>
    <w:rsid w:val="00D62403"/>
    <w:rsid w:val="00D62B68"/>
    <w:rsid w:val="00D81E11"/>
    <w:rsid w:val="00D878C4"/>
    <w:rsid w:val="00D87F75"/>
    <w:rsid w:val="00DA1AE8"/>
    <w:rsid w:val="00DA5698"/>
    <w:rsid w:val="00DB6FC3"/>
    <w:rsid w:val="00DD2CD4"/>
    <w:rsid w:val="00DD2F94"/>
    <w:rsid w:val="00DD49AA"/>
    <w:rsid w:val="00DD4A2E"/>
    <w:rsid w:val="00DE5B31"/>
    <w:rsid w:val="00DF0CD5"/>
    <w:rsid w:val="00DF10DD"/>
    <w:rsid w:val="00DF4BC5"/>
    <w:rsid w:val="00E06AF0"/>
    <w:rsid w:val="00E123C9"/>
    <w:rsid w:val="00E12E63"/>
    <w:rsid w:val="00E416A7"/>
    <w:rsid w:val="00E4271E"/>
    <w:rsid w:val="00E42AA5"/>
    <w:rsid w:val="00E473F1"/>
    <w:rsid w:val="00E64258"/>
    <w:rsid w:val="00E643F4"/>
    <w:rsid w:val="00E64F2B"/>
    <w:rsid w:val="00E65096"/>
    <w:rsid w:val="00E673DC"/>
    <w:rsid w:val="00E7186D"/>
    <w:rsid w:val="00E82B68"/>
    <w:rsid w:val="00E84227"/>
    <w:rsid w:val="00E86307"/>
    <w:rsid w:val="00E86809"/>
    <w:rsid w:val="00E94743"/>
    <w:rsid w:val="00E96B27"/>
    <w:rsid w:val="00EA76D9"/>
    <w:rsid w:val="00EB64D7"/>
    <w:rsid w:val="00EC0FCE"/>
    <w:rsid w:val="00EE5E39"/>
    <w:rsid w:val="00EF009C"/>
    <w:rsid w:val="00EF1410"/>
    <w:rsid w:val="00EF2D47"/>
    <w:rsid w:val="00EF4334"/>
    <w:rsid w:val="00EF7D43"/>
    <w:rsid w:val="00F05713"/>
    <w:rsid w:val="00F14976"/>
    <w:rsid w:val="00F225CD"/>
    <w:rsid w:val="00F24717"/>
    <w:rsid w:val="00F25265"/>
    <w:rsid w:val="00F43D62"/>
    <w:rsid w:val="00F5567C"/>
    <w:rsid w:val="00F570D7"/>
    <w:rsid w:val="00F70FF5"/>
    <w:rsid w:val="00F804D8"/>
    <w:rsid w:val="00F8088F"/>
    <w:rsid w:val="00F83666"/>
    <w:rsid w:val="00F85BDC"/>
    <w:rsid w:val="00F93678"/>
    <w:rsid w:val="00F96AD4"/>
    <w:rsid w:val="00F97F12"/>
    <w:rsid w:val="00FA4E33"/>
    <w:rsid w:val="00FB5C6E"/>
    <w:rsid w:val="00FC290D"/>
    <w:rsid w:val="00FC4C7F"/>
    <w:rsid w:val="00FF3F1F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204C64"/>
  <w15:docId w15:val="{F9F9462E-5F62-4493-AF40-C0E69284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6C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9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29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B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628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28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6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403"/>
  </w:style>
  <w:style w:type="paragraph" w:styleId="Footer">
    <w:name w:val="footer"/>
    <w:basedOn w:val="Normal"/>
    <w:link w:val="FooterChar"/>
    <w:uiPriority w:val="99"/>
    <w:unhideWhenUsed/>
    <w:rsid w:val="00D6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403"/>
  </w:style>
  <w:style w:type="paragraph" w:styleId="Caption">
    <w:name w:val="caption"/>
    <w:basedOn w:val="Normal"/>
    <w:next w:val="Normal"/>
    <w:uiPriority w:val="35"/>
    <w:unhideWhenUsed/>
    <w:qFormat/>
    <w:rsid w:val="00907B9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E009-F865-4A17-B444-FCD9A459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7747</Words>
  <Characters>44160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CvanRensburg</dc:creator>
  <cp:lastModifiedBy>KMokuchwane</cp:lastModifiedBy>
  <cp:revision>2</cp:revision>
  <cp:lastPrinted>2017-11-07T10:34:00Z</cp:lastPrinted>
  <dcterms:created xsi:type="dcterms:W3CDTF">2024-02-09T07:52:00Z</dcterms:created>
  <dcterms:modified xsi:type="dcterms:W3CDTF">2024-02-09T07:52:00Z</dcterms:modified>
</cp:coreProperties>
</file>